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Computers in Nigerian Communities</w:t>
      </w:r>
    </w:p>
    <w:p>
      <w:pPr>
        <w:spacing w:after="120"/>
        <w:jc w:val="center"/>
      </w:pPr>
      <w:r>
        <w:rPr>
          <w:b/>
          <w:i w:val="0"/>
          <w:color w:val="4C1D95"/>
          <w:sz w:val="30"/>
        </w:rPr>
        <w:t>Primary 3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Computers in Nigerian Communities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'Computers in Nigerian Communities'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School, bank, hospital, farm examples</w:t>
            </w:r>
          </w:p>
        </w:tc>
      </w:tr>
      <w:tr>
        <w:tc>
          <w:tcPr>
            <w:tcW w:type="dxa" w:w="1701"/>
          </w:tcPr>
          <w:p>
            <w:pPr>
              <w:spacing w:after="40"/>
            </w:pPr>
            <w:r/>
            <w:r>
              <w:rPr>
                <w:sz w:val="19"/>
              </w:rPr>
              <w:t>Period 2</w:t>
            </w:r>
          </w:p>
        </w:tc>
        <w:tc>
          <w:tcPr>
            <w:tcW w:type="dxa" w:w="7654"/>
          </w:tcPr>
          <w:p>
            <w:pPr>
              <w:spacing w:after="40"/>
            </w:pPr>
            <w:r/>
            <w:r>
              <w:rPr>
                <w:sz w:val="19"/>
              </w:rPr>
              <w:t>Match computer use to community need</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“Computers in Nigerian Communities” to learners’ home, school or community experiences. Ask 2–3 short questions and accept examples in familiar Nigerian contexts.</w:t>
      </w:r>
    </w:p>
    <w:p>
      <w:pPr>
        <w:pStyle w:val="ListBullet"/>
      </w:pPr>
      <w:r>
        <w:t>Explain and model the first part of the scheme content: Period 1: School, bank, hospital, farm examples Period 2: Match computer use to community need.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“Computers in Nigerian Communities”?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“Computers in Nigerian Communities”.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