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Files and Digital Work</w:t>
      </w:r>
    </w:p>
    <w:p>
      <w:pPr>
        <w:spacing w:after="120"/>
        <w:jc w:val="center"/>
      </w:pPr>
      <w:r>
        <w:rPr>
          <w:b/>
          <w:i w:val="0"/>
          <w:color w:val="4C1D95"/>
          <w:sz w:val="30"/>
        </w:rPr>
        <w:t>Primary 3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4 of First Term</w:t>
            </w:r>
          </w:p>
        </w:tc>
      </w:tr>
      <w:tr>
        <w:tc>
          <w:tcPr>
            <w:tcW w:type="dxa" w:w="2551"/>
          </w:tcPr>
          <w:p>
            <w:pPr>
              <w:spacing w:after="40"/>
            </w:pPr>
            <w:r/>
            <w:r>
              <w:rPr>
                <w:sz w:val="19"/>
              </w:rPr>
              <w:t>Topic</w:t>
            </w:r>
          </w:p>
        </w:tc>
        <w:tc>
          <w:tcPr>
            <w:tcW w:type="dxa" w:w="6803"/>
          </w:tcPr>
          <w:p>
            <w:pPr>
              <w:spacing w:after="40"/>
            </w:pPr>
            <w:r/>
            <w:r>
              <w:rPr>
                <w:sz w:val="19"/>
              </w:rPr>
              <w:t>Files and Digital Work</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'Files and Digital Work'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Names; folders as containers; saving with guidance</w:t>
            </w:r>
          </w:p>
        </w:tc>
      </w:tr>
      <w:tr>
        <w:tc>
          <w:tcPr>
            <w:tcW w:type="dxa" w:w="1701"/>
          </w:tcPr>
          <w:p>
            <w:pPr>
              <w:spacing w:after="40"/>
            </w:pPr>
            <w:r/>
            <w:r>
              <w:rPr>
                <w:sz w:val="19"/>
              </w:rPr>
              <w:t>Period 2</w:t>
            </w:r>
          </w:p>
        </w:tc>
        <w:tc>
          <w:tcPr>
            <w:tcW w:type="dxa" w:w="7654"/>
          </w:tcPr>
          <w:p>
            <w:pPr>
              <w:spacing w:after="40"/>
            </w:pPr>
            <w:r/>
            <w:r>
              <w:rPr>
                <w:sz w:val="19"/>
              </w:rPr>
              <w:t>Organise sample work into labelled folders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“Files and Digital Work” to learners’ home, school or community experiences. Ask 2–3 short questions and accept examples in familiar Nigerian contexts.</w:t>
      </w:r>
    </w:p>
    <w:p>
      <w:pPr>
        <w:pStyle w:val="ListBullet"/>
      </w:pPr>
      <w:r>
        <w:t>Explain and model the first part of the scheme content: Period 1: Names; folders as containers; saving with guidance Period 2: Organise sample work into labelled folders.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“Files and Digital Work”?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“Files and Digital Work”.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