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and Information</w:t>
      </w:r>
    </w:p>
    <w:p>
      <w:pPr>
        <w:spacing w:after="120"/>
        <w:jc w:val="center"/>
      </w:pPr>
      <w:r>
        <w:rPr>
          <w:b/>
          <w:i w:val="0"/>
          <w:color w:val="4C1D95"/>
          <w:sz w:val="30"/>
        </w:rPr>
        <w:t>Primary 3 · First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5 of First Term</w:t>
            </w:r>
          </w:p>
        </w:tc>
      </w:tr>
      <w:tr>
        <w:tc>
          <w:tcPr>
            <w:tcW w:type="dxa" w:w="2551"/>
          </w:tcPr>
          <w:p>
            <w:pPr>
              <w:spacing w:after="40"/>
            </w:pPr>
            <w:r/>
            <w:r>
              <w:rPr>
                <w:sz w:val="19"/>
              </w:rPr>
              <w:t>Topic</w:t>
            </w:r>
          </w:p>
        </w:tc>
        <w:tc>
          <w:tcPr>
            <w:tcW w:type="dxa" w:w="6803"/>
          </w:tcPr>
          <w:p>
            <w:pPr>
              <w:spacing w:after="40"/>
            </w:pPr>
            <w:r/>
            <w:r>
              <w:rPr>
                <w:sz w:val="19"/>
              </w:rPr>
              <w:t>Data and Information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and Information'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Raw facts; useful information</w:t>
            </w:r>
          </w:p>
        </w:tc>
      </w:tr>
      <w:tr>
        <w:tc>
          <w:tcPr>
            <w:tcW w:type="dxa" w:w="1701"/>
          </w:tcPr>
          <w:p>
            <w:pPr>
              <w:spacing w:after="40"/>
            </w:pPr>
            <w:r/>
            <w:r>
              <w:rPr>
                <w:sz w:val="19"/>
              </w:rPr>
              <w:t>Period 2</w:t>
            </w:r>
          </w:p>
        </w:tc>
        <w:tc>
          <w:tcPr>
            <w:tcW w:type="dxa" w:w="7654"/>
          </w:tcPr>
          <w:p>
            <w:pPr>
              <w:spacing w:after="40"/>
            </w:pPr>
            <w:r/>
            <w:r>
              <w:rPr>
                <w:sz w:val="19"/>
              </w:rPr>
              <w:t>Turn simple counts into a statement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and Information” to learners’ home, school or community experiences. Ask 2–3 short questions and accept examples in familiar Nigerian contexts.</w:t>
      </w:r>
    </w:p>
    <w:p>
      <w:pPr>
        <w:pStyle w:val="ListBullet"/>
      </w:pPr>
      <w:r>
        <w:t>Explain and model the first part of the scheme content: Period 1: Raw facts; useful information Period 2: Turn simple counts into a statement.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and Information”?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and Information”.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