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in Everyday Life</w:t>
      </w:r>
    </w:p>
    <w:p>
      <w:pPr>
        <w:spacing w:after="120"/>
        <w:jc w:val="center"/>
      </w:pPr>
      <w:r>
        <w:rPr>
          <w:b/>
          <w:i w:val="0"/>
          <w:color w:val="4C1D95"/>
          <w:sz w:val="30"/>
        </w:rPr>
        <w:t>Primary 3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AI in Everyday Life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in Everyday Life'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Recognition; recommendations; translation</w:t>
            </w:r>
          </w:p>
        </w:tc>
      </w:tr>
      <w:tr>
        <w:tc>
          <w:tcPr>
            <w:tcW w:type="dxa" w:w="1701"/>
          </w:tcPr>
          <w:p>
            <w:pPr>
              <w:spacing w:after="40"/>
            </w:pPr>
            <w:r/>
            <w:r>
              <w:rPr>
                <w:sz w:val="19"/>
              </w:rPr>
              <w:t>Period 2</w:t>
            </w:r>
          </w:p>
        </w:tc>
        <w:tc>
          <w:tcPr>
            <w:tcW w:type="dxa" w:w="7654"/>
          </w:tcPr>
          <w:p>
            <w:pPr>
              <w:spacing w:after="40"/>
            </w:pPr>
            <w:r/>
            <w:r>
              <w:rPr>
                <w:sz w:val="19"/>
              </w:rPr>
              <w:t>Identify likely AI examples and limitations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in Everyday Life” to learners’ home, school or community experiences. Ask 2–3 short questions and accept examples in familiar Nigerian contexts.</w:t>
      </w:r>
    </w:p>
    <w:p>
      <w:pPr>
        <w:pStyle w:val="ListBullet"/>
      </w:pPr>
      <w:r>
        <w:t>Explain and model the first part of the scheme content: Period 1: Recognition; recommendations; translation Period 2: Identify likely AI examples and limitations.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in Everyday Life”?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in Everyday Life”.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