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Privacy and Online Kindness</w:t>
      </w:r>
    </w:p>
    <w:p>
      <w:pPr>
        <w:spacing w:after="120"/>
        <w:jc w:val="center"/>
      </w:pPr>
      <w:r>
        <w:rPr>
          <w:b/>
          <w:i w:val="0"/>
          <w:color w:val="4C1D95"/>
          <w:sz w:val="30"/>
        </w:rPr>
        <w:t>Primary 3 · First Term · Week 9</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3, First Term, Week 9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3</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9 of First Term</w:t>
            </w:r>
          </w:p>
        </w:tc>
      </w:tr>
      <w:tr>
        <w:tc>
          <w:tcPr>
            <w:tcW w:type="dxa" w:w="2551"/>
          </w:tcPr>
          <w:p>
            <w:pPr>
              <w:spacing w:after="40"/>
            </w:pPr>
            <w:r/>
            <w:r>
              <w:rPr>
                <w:sz w:val="19"/>
              </w:rPr>
              <w:t>Topic</w:t>
            </w:r>
          </w:p>
        </w:tc>
        <w:tc>
          <w:tcPr>
            <w:tcW w:type="dxa" w:w="6803"/>
          </w:tcPr>
          <w:p>
            <w:pPr>
              <w:spacing w:after="40"/>
            </w:pPr>
            <w:r/>
            <w:r>
              <w:rPr>
                <w:sz w:val="19"/>
              </w:rPr>
              <w:t>Privacy and Online Kindness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'Privacy and Online Kindness'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Personal data; respectful communication</w:t>
            </w:r>
          </w:p>
        </w:tc>
      </w:tr>
      <w:tr>
        <w:tc>
          <w:tcPr>
            <w:tcW w:type="dxa" w:w="1701"/>
          </w:tcPr>
          <w:p>
            <w:pPr>
              <w:spacing w:after="40"/>
            </w:pPr>
            <w:r/>
            <w:r>
              <w:rPr>
                <w:sz w:val="19"/>
              </w:rPr>
              <w:t>Period 2</w:t>
            </w:r>
          </w:p>
        </w:tc>
        <w:tc>
          <w:tcPr>
            <w:tcW w:type="dxa" w:w="7654"/>
          </w:tcPr>
          <w:p>
            <w:pPr>
              <w:spacing w:after="40"/>
            </w:pPr>
            <w:r/>
            <w:r>
              <w:rPr>
                <w:sz w:val="19"/>
              </w:rPr>
              <w:t>Respond to safety scenarios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“Privacy and Online Kindness” to learners’ home, school or community experiences. Ask 2–3 short questions and accept examples in familiar Nigerian contexts.</w:t>
      </w:r>
    </w:p>
    <w:p>
      <w:pPr>
        <w:pStyle w:val="ListBullet"/>
      </w:pPr>
      <w:r>
        <w:t>Explain and model the first part of the scheme content: Period 1: Personal data; respectful communication Period 2: Respond to safety scenarios.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“Privacy and Online Kindness”?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“Privacy and Online Kindness”.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3, First Term, Week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