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and Review</w:t>
      </w:r>
    </w:p>
    <w:p>
      <w:pPr>
        <w:spacing w:after="120"/>
        <w:jc w:val="center"/>
      </w:pPr>
      <w:r>
        <w:rPr>
          <w:b/>
          <w:i w:val="0"/>
          <w:color w:val="4C1D95"/>
          <w:sz w:val="30"/>
        </w:rPr>
        <w:t>Primary 3 · Second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10 of Second Term</w:t>
            </w:r>
          </w:p>
        </w:tc>
      </w:tr>
      <w:tr>
        <w:tc>
          <w:tcPr>
            <w:tcW w:type="dxa" w:w="2551"/>
          </w:tcPr>
          <w:p>
            <w:pPr>
              <w:spacing w:after="40"/>
            </w:pPr>
            <w:r/>
            <w:r>
              <w:rPr>
                <w:sz w:val="19"/>
              </w:rPr>
              <w:t>Topic</w:t>
            </w:r>
          </w:p>
        </w:tc>
        <w:tc>
          <w:tcPr>
            <w:tcW w:type="dxa" w:w="6803"/>
          </w:tcPr>
          <w:p>
            <w:pPr>
              <w:spacing w:after="40"/>
            </w:pPr>
            <w:r/>
            <w:r>
              <w:rPr>
                <w:sz w:val="19"/>
              </w:rPr>
              <w:t>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Combine coding and data; presentation</w:t>
            </w:r>
          </w:p>
        </w:tc>
      </w:tr>
      <w:tr>
        <w:tc>
          <w:tcPr>
            <w:tcW w:type="dxa" w:w="1701"/>
          </w:tcPr>
          <w:p>
            <w:pPr>
              <w:spacing w:after="40"/>
            </w:pPr>
            <w:r/>
            <w:r>
              <w:rPr>
                <w:sz w:val="19"/>
              </w:rPr>
              <w:t>Period 2</w:t>
            </w:r>
          </w:p>
        </w:tc>
        <w:tc>
          <w:tcPr>
            <w:tcW w:type="dxa" w:w="7654"/>
          </w:tcPr>
          <w:p>
            <w:pPr>
              <w:spacing w:after="40"/>
            </w:pPr>
            <w:r/>
            <w:r>
              <w:rPr>
                <w:sz w:val="19"/>
              </w:rPr>
              <w:t>Show project; assess understanding</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and Review” to learners’ home, school or community experiences. Ask 2–3 short questions and accept examples in familiar Nigerian contexts.</w:t>
      </w:r>
    </w:p>
    <w:p>
      <w:pPr>
        <w:pStyle w:val="ListBullet"/>
      </w:pPr>
      <w:r>
        <w:t>Explain and model the first part of the scheme content: Period 1: Combine coding and data; presentation Period 2: Show project; assess understanding.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