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Review and Data Types</w:t>
      </w:r>
    </w:p>
    <w:p>
      <w:pPr>
        <w:spacing w:after="120"/>
        <w:jc w:val="center"/>
      </w:pPr>
      <w:r>
        <w:rPr>
          <w:b/>
          <w:i w:val="0"/>
          <w:color w:val="4C1D95"/>
          <w:sz w:val="30"/>
        </w:rPr>
        <w:t>Primary 3 · Second Term · Week 1</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1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1 of Second Term</w:t>
            </w:r>
          </w:p>
        </w:tc>
      </w:tr>
      <w:tr>
        <w:tc>
          <w:tcPr>
            <w:tcW w:type="dxa" w:w="2551"/>
          </w:tcPr>
          <w:p>
            <w:pPr>
              <w:spacing w:after="40"/>
            </w:pPr>
            <w:r/>
            <w:r>
              <w:rPr>
                <w:sz w:val="19"/>
              </w:rPr>
              <w:t>Topic</w:t>
            </w:r>
          </w:p>
        </w:tc>
        <w:tc>
          <w:tcPr>
            <w:tcW w:type="dxa" w:w="6803"/>
          </w:tcPr>
          <w:p>
            <w:pPr>
              <w:spacing w:after="40"/>
            </w:pPr>
            <w:r/>
            <w:r>
              <w:rPr>
                <w:sz w:val="19"/>
              </w:rPr>
              <w:t>Review and Data Types</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'Review and Data Types'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Numbers; categories; pictures</w:t>
            </w:r>
          </w:p>
        </w:tc>
      </w:tr>
      <w:tr>
        <w:tc>
          <w:tcPr>
            <w:tcW w:type="dxa" w:w="1701"/>
          </w:tcPr>
          <w:p>
            <w:pPr>
              <w:spacing w:after="40"/>
            </w:pPr>
            <w:r/>
            <w:r>
              <w:rPr>
                <w:sz w:val="19"/>
              </w:rPr>
              <w:t>Period 2</w:t>
            </w:r>
          </w:p>
        </w:tc>
        <w:tc>
          <w:tcPr>
            <w:tcW w:type="dxa" w:w="7654"/>
          </w:tcPr>
          <w:p>
            <w:pPr>
              <w:spacing w:after="40"/>
            </w:pPr>
            <w:r/>
            <w:r>
              <w:rPr>
                <w:sz w:val="19"/>
              </w:rPr>
              <w:t>Sort example data</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“Review and Data Types” to learners’ home, school or community experiences. Ask 2–3 short questions and accept examples in familiar Nigerian contexts.</w:t>
      </w:r>
    </w:p>
    <w:p>
      <w:pPr>
        <w:pStyle w:val="ListBullet"/>
      </w:pPr>
      <w:r>
        <w:t>Explain and model the first part of the scheme content: Period 1: Numbers; categories; pictures Period 2: Sort example data.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“Review and Data Types”?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“Review and Data Types”.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