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Tables and Spreadsheets</w:t>
      </w:r>
    </w:p>
    <w:p>
      <w:pPr>
        <w:spacing w:after="120"/>
        <w:jc w:val="center"/>
      </w:pPr>
      <w:r>
        <w:rPr>
          <w:b/>
          <w:i w:val="0"/>
          <w:color w:val="4C1D95"/>
          <w:sz w:val="30"/>
        </w:rPr>
        <w:t>Primary 3 · Second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2 of Second Term</w:t>
            </w:r>
          </w:p>
        </w:tc>
      </w:tr>
      <w:tr>
        <w:tc>
          <w:tcPr>
            <w:tcW w:type="dxa" w:w="2551"/>
          </w:tcPr>
          <w:p>
            <w:pPr>
              <w:spacing w:after="40"/>
            </w:pPr>
            <w:r/>
            <w:r>
              <w:rPr>
                <w:sz w:val="19"/>
              </w:rPr>
              <w:t>Topic</w:t>
            </w:r>
          </w:p>
        </w:tc>
        <w:tc>
          <w:tcPr>
            <w:tcW w:type="dxa" w:w="6803"/>
          </w:tcPr>
          <w:p>
            <w:pPr>
              <w:spacing w:after="40"/>
            </w:pPr>
            <w:r/>
            <w:r>
              <w:rPr>
                <w:sz w:val="19"/>
              </w:rPr>
              <w:t>Tables and Spreadsheets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'Tables and Spreadsheets'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Rows; columns; cells</w:t>
            </w:r>
          </w:p>
        </w:tc>
      </w:tr>
      <w:tr>
        <w:tc>
          <w:tcPr>
            <w:tcW w:type="dxa" w:w="1701"/>
          </w:tcPr>
          <w:p>
            <w:pPr>
              <w:spacing w:after="40"/>
            </w:pPr>
            <w:r/>
            <w:r>
              <w:rPr>
                <w:sz w:val="19"/>
              </w:rPr>
              <w:t>Period 2</w:t>
            </w:r>
          </w:p>
        </w:tc>
        <w:tc>
          <w:tcPr>
            <w:tcW w:type="dxa" w:w="7654"/>
          </w:tcPr>
          <w:p>
            <w:pPr>
              <w:spacing w:after="40"/>
            </w:pPr>
            <w:r/>
            <w:r>
              <w:rPr>
                <w:sz w:val="19"/>
              </w:rPr>
              <w:t>Enter sample counts into a paper or digital table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“Tables and Spreadsheets” to learners’ home, school or community experiences. Ask 2–3 short questions and accept examples in familiar Nigerian contexts.</w:t>
      </w:r>
    </w:p>
    <w:p>
      <w:pPr>
        <w:pStyle w:val="ListBullet"/>
      </w:pPr>
      <w:r>
        <w:t>Explain and model the first part of the scheme content: Period 1: Rows; columns; cells Period 2: Enter sample counts into a paper or digital table.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“Tables and Spreadsheets”?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“Tables and Spreadsheets”.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