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Charts and Patterns</w:t>
      </w:r>
    </w:p>
    <w:p>
      <w:pPr>
        <w:spacing w:after="120"/>
        <w:jc w:val="center"/>
      </w:pPr>
      <w:r>
        <w:rPr>
          <w:b/>
          <w:i w:val="0"/>
          <w:color w:val="4C1D95"/>
          <w:sz w:val="30"/>
        </w:rPr>
        <w:t>Primary 3 · Second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Second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3 of Second Term</w:t>
            </w:r>
          </w:p>
        </w:tc>
      </w:tr>
      <w:tr>
        <w:tc>
          <w:tcPr>
            <w:tcW w:type="dxa" w:w="2551"/>
          </w:tcPr>
          <w:p>
            <w:pPr>
              <w:spacing w:after="40"/>
            </w:pPr>
            <w:r/>
            <w:r>
              <w:rPr>
                <w:sz w:val="19"/>
              </w:rPr>
              <w:t>Topic</w:t>
            </w:r>
          </w:p>
        </w:tc>
        <w:tc>
          <w:tcPr>
            <w:tcW w:type="dxa" w:w="6803"/>
          </w:tcPr>
          <w:p>
            <w:pPr>
              <w:spacing w:after="40"/>
            </w:pPr>
            <w:r/>
            <w:r>
              <w:rPr>
                <w:sz w:val="19"/>
              </w:rPr>
              <w:t>Charts and Patterns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'Charts and Patterns'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Bar charts; comparisons</w:t>
            </w:r>
          </w:p>
        </w:tc>
      </w:tr>
      <w:tr>
        <w:tc>
          <w:tcPr>
            <w:tcW w:type="dxa" w:w="1701"/>
          </w:tcPr>
          <w:p>
            <w:pPr>
              <w:spacing w:after="40"/>
            </w:pPr>
            <w:r/>
            <w:r>
              <w:rPr>
                <w:sz w:val="19"/>
              </w:rPr>
              <w:t>Period 2</w:t>
            </w:r>
          </w:p>
        </w:tc>
        <w:tc>
          <w:tcPr>
            <w:tcW w:type="dxa" w:w="7654"/>
          </w:tcPr>
          <w:p>
            <w:pPr>
              <w:spacing w:after="40"/>
            </w:pPr>
            <w:r/>
            <w:r>
              <w:rPr>
                <w:sz w:val="19"/>
              </w:rPr>
              <w:t>Make a chart from class data</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“Charts and Patterns” to learners’ home, school or community experiences. Ask 2–3 short questions and accept examples in familiar Nigerian contexts.</w:t>
      </w:r>
    </w:p>
    <w:p>
      <w:pPr>
        <w:pStyle w:val="ListBullet"/>
      </w:pPr>
      <w:r>
        <w:t>Explain and model the first part of the scheme content: Period 1: Bar charts; comparisons Period 2: Make a chart from class data.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“Charts and Patterns”?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“Charts and Patterns”.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Second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