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Block Coding Introduction</w:t>
      </w:r>
    </w:p>
    <w:p>
      <w:pPr>
        <w:spacing w:after="120"/>
        <w:jc w:val="center"/>
      </w:pPr>
      <w:r>
        <w:rPr>
          <w:b/>
          <w:i w:val="0"/>
          <w:color w:val="4C1D95"/>
          <w:sz w:val="30"/>
        </w:rPr>
        <w:t>Primary 3 · Second Term · Week 4</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3, Second Term, Week 4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3</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Second Term</w:t>
            </w:r>
          </w:p>
        </w:tc>
      </w:tr>
      <w:tr>
        <w:tc>
          <w:tcPr>
            <w:tcW w:type="dxa" w:w="2551"/>
          </w:tcPr>
          <w:p>
            <w:pPr>
              <w:spacing w:after="40"/>
            </w:pPr>
            <w:r/>
            <w:r>
              <w:rPr>
                <w:sz w:val="19"/>
              </w:rPr>
              <w:t>Week</w:t>
            </w:r>
          </w:p>
        </w:tc>
        <w:tc>
          <w:tcPr>
            <w:tcW w:type="dxa" w:w="6803"/>
          </w:tcPr>
          <w:p>
            <w:pPr>
              <w:spacing w:after="40"/>
            </w:pPr>
            <w:r/>
            <w:r>
              <w:rPr>
                <w:sz w:val="19"/>
              </w:rPr>
              <w:t>Week 4 of Second Term</w:t>
            </w:r>
          </w:p>
        </w:tc>
      </w:tr>
      <w:tr>
        <w:tc>
          <w:tcPr>
            <w:tcW w:type="dxa" w:w="2551"/>
          </w:tcPr>
          <w:p>
            <w:pPr>
              <w:spacing w:after="40"/>
            </w:pPr>
            <w:r/>
            <w:r>
              <w:rPr>
                <w:sz w:val="19"/>
              </w:rPr>
              <w:t>Topic</w:t>
            </w:r>
          </w:p>
        </w:tc>
        <w:tc>
          <w:tcPr>
            <w:tcW w:type="dxa" w:w="6803"/>
          </w:tcPr>
          <w:p>
            <w:pPr>
              <w:spacing w:after="40"/>
            </w:pPr>
            <w:r/>
            <w:r>
              <w:rPr>
                <w:sz w:val="19"/>
              </w:rPr>
              <w:t>Block Coding Introduction</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'Block Coding Introduction'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Sprites; events; blocks</w:t>
            </w:r>
          </w:p>
        </w:tc>
      </w:tr>
      <w:tr>
        <w:tc>
          <w:tcPr>
            <w:tcW w:type="dxa" w:w="1701"/>
          </w:tcPr>
          <w:p>
            <w:pPr>
              <w:spacing w:after="40"/>
            </w:pPr>
            <w:r/>
            <w:r>
              <w:rPr>
                <w:sz w:val="19"/>
              </w:rPr>
              <w:t>Period 2</w:t>
            </w:r>
          </w:p>
        </w:tc>
        <w:tc>
          <w:tcPr>
            <w:tcW w:type="dxa" w:w="7654"/>
          </w:tcPr>
          <w:p>
            <w:pPr>
              <w:spacing w:after="40"/>
            </w:pPr>
            <w:r/>
            <w:r>
              <w:rPr>
                <w:sz w:val="19"/>
              </w:rPr>
              <w:t>Create a simple movement sequence</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“Block Coding Introduction” to learners’ home, school or community experiences. Ask 2–3 short questions and accept examples in familiar Nigerian contexts.</w:t>
      </w:r>
    </w:p>
    <w:p>
      <w:pPr>
        <w:pStyle w:val="ListBullet"/>
      </w:pPr>
      <w:r>
        <w:t>Explain and model the first part of the scheme content: Period 1: Sprites; events; blocks Period 2: Create a simple movement sequence.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“Block Coding Introduction”?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“Block Coding Introduction”.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3, Second Term, Week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