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Sequences and Events</w:t>
      </w:r>
    </w:p>
    <w:p>
      <w:pPr>
        <w:spacing w:after="120"/>
        <w:jc w:val="center"/>
      </w:pPr>
      <w:r>
        <w:rPr>
          <w:b/>
          <w:i w:val="0"/>
          <w:color w:val="4C1D95"/>
          <w:sz w:val="30"/>
        </w:rPr>
        <w:t>Primary 3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Sequences and Events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'Sequences and Events'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Order; start event</w:t>
            </w:r>
          </w:p>
        </w:tc>
      </w:tr>
      <w:tr>
        <w:tc>
          <w:tcPr>
            <w:tcW w:type="dxa" w:w="1701"/>
          </w:tcPr>
          <w:p>
            <w:pPr>
              <w:spacing w:after="40"/>
            </w:pPr>
            <w:r/>
            <w:r>
              <w:rPr>
                <w:sz w:val="19"/>
              </w:rPr>
              <w:t>Period 2</w:t>
            </w:r>
          </w:p>
        </w:tc>
        <w:tc>
          <w:tcPr>
            <w:tcW w:type="dxa" w:w="7654"/>
          </w:tcPr>
          <w:p>
            <w:pPr>
              <w:spacing w:after="40"/>
            </w:pPr>
            <w:r/>
            <w:r>
              <w:rPr>
                <w:sz w:val="19"/>
              </w:rPr>
              <w:t>Build a short animation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“Sequences and Events” to learners’ home, school or community experiences. Ask 2–3 short questions and accept examples in familiar Nigerian contexts.</w:t>
      </w:r>
    </w:p>
    <w:p>
      <w:pPr>
        <w:pStyle w:val="ListBullet"/>
      </w:pPr>
      <w:r>
        <w:t>Explain and model the first part of the scheme content: Period 1: Order; start event Period 2: Build a short animation.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“Sequences and Events”?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“Sequences and Events”.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