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Conditions and Choices</w:t>
      </w:r>
    </w:p>
    <w:p>
      <w:pPr>
        <w:spacing w:after="120"/>
        <w:jc w:val="center"/>
      </w:pPr>
      <w:r>
        <w:rPr>
          <w:b/>
          <w:i w:val="0"/>
          <w:color w:val="4C1D95"/>
          <w:sz w:val="30"/>
        </w:rPr>
        <w:t>Primary 3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Conditions and Choices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'Conditions and Choices'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If/then; choices</w:t>
            </w:r>
          </w:p>
        </w:tc>
      </w:tr>
      <w:tr>
        <w:tc>
          <w:tcPr>
            <w:tcW w:type="dxa" w:w="1701"/>
          </w:tcPr>
          <w:p>
            <w:pPr>
              <w:spacing w:after="40"/>
            </w:pPr>
            <w:r/>
            <w:r>
              <w:rPr>
                <w:sz w:val="19"/>
              </w:rPr>
              <w:t>Period 2</w:t>
            </w:r>
          </w:p>
        </w:tc>
        <w:tc>
          <w:tcPr>
            <w:tcW w:type="dxa" w:w="7654"/>
          </w:tcPr>
          <w:p>
            <w:pPr>
              <w:spacing w:after="40"/>
            </w:pPr>
            <w:r/>
            <w:r>
              <w:rPr>
                <w:sz w:val="19"/>
              </w:rPr>
              <w:t>Create a simple branching story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“Conditions and Choices” to learners’ home, school or community experiences. Ask 2–3 short questions and accept examples in familiar Nigerian contexts.</w:t>
      </w:r>
    </w:p>
    <w:p>
      <w:pPr>
        <w:pStyle w:val="ListBullet"/>
      </w:pPr>
      <w:r>
        <w:t>Explain and model the first part of the scheme content: Period 1: If/then; choices Period 2: Create a simple branching story.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“Conditions and Choices”?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“Conditions and Choices”.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