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and Example Data</w:t>
      </w:r>
    </w:p>
    <w:p>
      <w:pPr>
        <w:spacing w:after="120"/>
        <w:jc w:val="center"/>
      </w:pPr>
      <w:r>
        <w:rPr>
          <w:b/>
          <w:i w:val="0"/>
          <w:color w:val="4C1D95"/>
          <w:sz w:val="30"/>
        </w:rPr>
        <w:t>Primary 3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AI and Example Data</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and Example Data'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Training examples; labels</w:t>
            </w:r>
          </w:p>
        </w:tc>
      </w:tr>
      <w:tr>
        <w:tc>
          <w:tcPr>
            <w:tcW w:type="dxa" w:w="1701"/>
          </w:tcPr>
          <w:p>
            <w:pPr>
              <w:spacing w:after="40"/>
            </w:pPr>
            <w:r/>
            <w:r>
              <w:rPr>
                <w:sz w:val="19"/>
              </w:rPr>
              <w:t>Period 2</w:t>
            </w:r>
          </w:p>
        </w:tc>
        <w:tc>
          <w:tcPr>
            <w:tcW w:type="dxa" w:w="7654"/>
          </w:tcPr>
          <w:p>
            <w:pPr>
              <w:spacing w:after="40"/>
            </w:pPr>
            <w:r/>
            <w:r>
              <w:rPr>
                <w:sz w:val="19"/>
              </w:rPr>
              <w:t>Sort labelled picture cards and test predictions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and Example Data” to learners’ home, school or community experiences. Ask 2–3 short questions and accept examples in familiar Nigerian contexts.</w:t>
      </w:r>
    </w:p>
    <w:p>
      <w:pPr>
        <w:pStyle w:val="ListBullet"/>
      </w:pPr>
      <w:r>
        <w:t>Explain and model the first part of the scheme content: Period 1: Training examples; labels Period 2: Sort labelled picture cards and test predictions.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and Example Data”?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and Example Data”.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