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Year Review</w:t>
      </w:r>
    </w:p>
    <w:p>
      <w:pPr>
        <w:spacing w:after="120"/>
        <w:jc w:val="center"/>
      </w:pPr>
      <w:r>
        <w:rPr>
          <w:b/>
          <w:i w:val="0"/>
          <w:color w:val="4C1D95"/>
          <w:sz w:val="30"/>
        </w:rPr>
        <w:t>Primary 3 · Third Term · Week 1</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3, Third Term, Week 1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3</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1 of Third Term</w:t>
            </w:r>
          </w:p>
        </w:tc>
      </w:tr>
      <w:tr>
        <w:tc>
          <w:tcPr>
            <w:tcW w:type="dxa" w:w="2551"/>
          </w:tcPr>
          <w:p>
            <w:pPr>
              <w:spacing w:after="40"/>
            </w:pPr>
            <w:r/>
            <w:r>
              <w:rPr>
                <w:sz w:val="19"/>
              </w:rPr>
              <w:t>Topic</w:t>
            </w:r>
          </w:p>
        </w:tc>
        <w:tc>
          <w:tcPr>
            <w:tcW w:type="dxa" w:w="6803"/>
          </w:tcPr>
          <w:p>
            <w:pPr>
              <w:spacing w:after="40"/>
            </w:pPr>
            <w:r/>
            <w:r>
              <w:rPr>
                <w:sz w:val="19"/>
              </w:rPr>
              <w:t>Year Review</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'Year Review'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Data, coding, privacy and AI</w:t>
            </w:r>
          </w:p>
        </w:tc>
      </w:tr>
      <w:tr>
        <w:tc>
          <w:tcPr>
            <w:tcW w:type="dxa" w:w="1701"/>
          </w:tcPr>
          <w:p>
            <w:pPr>
              <w:spacing w:after="40"/>
            </w:pPr>
            <w:r/>
            <w:r>
              <w:rPr>
                <w:sz w:val="19"/>
              </w:rPr>
              <w:t>Period 2</w:t>
            </w:r>
          </w:p>
        </w:tc>
        <w:tc>
          <w:tcPr>
            <w:tcW w:type="dxa" w:w="7654"/>
          </w:tcPr>
          <w:p>
            <w:pPr>
              <w:spacing w:after="40"/>
            </w:pPr>
            <w:r/>
            <w:r>
              <w:rPr>
                <w:sz w:val="19"/>
              </w:rPr>
              <w:t>Mixed quiz</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“Year Review” to learners’ home, school or community experiences. Ask 2–3 short questions and accept examples in familiar Nigerian contexts.</w:t>
      </w:r>
    </w:p>
    <w:p>
      <w:pPr>
        <w:pStyle w:val="ListBullet"/>
      </w:pPr>
      <w:r>
        <w:t>Explain and model the first part of the scheme content: Period 1: Data, coding, privacy and AI Period 2: Mixed quiz.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“Year Review”?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“Year Review”.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3, Third Term,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