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Digital Research Skills</w:t>
      </w:r>
    </w:p>
    <w:p>
      <w:pPr>
        <w:spacing w:after="120"/>
        <w:jc w:val="center"/>
      </w:pPr>
      <w:r>
        <w:rPr>
          <w:b/>
          <w:i w:val="0"/>
          <w:color w:val="4C1D95"/>
          <w:sz w:val="30"/>
        </w:rPr>
        <w:t>Primary 3 · Third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Third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2 of Third Term</w:t>
            </w:r>
          </w:p>
        </w:tc>
      </w:tr>
      <w:tr>
        <w:tc>
          <w:tcPr>
            <w:tcW w:type="dxa" w:w="2551"/>
          </w:tcPr>
          <w:p>
            <w:pPr>
              <w:spacing w:after="40"/>
            </w:pPr>
            <w:r/>
            <w:r>
              <w:rPr>
                <w:sz w:val="19"/>
              </w:rPr>
              <w:t>Topic</w:t>
            </w:r>
          </w:p>
        </w:tc>
        <w:tc>
          <w:tcPr>
            <w:tcW w:type="dxa" w:w="6803"/>
          </w:tcPr>
          <w:p>
            <w:pPr>
              <w:spacing w:after="40"/>
            </w:pPr>
            <w:r/>
            <w:r>
              <w:rPr>
                <w:sz w:val="19"/>
              </w:rPr>
              <w:t>Digital Research Skills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'Digital Research Skills'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Search terms; reliable sources</w:t>
            </w:r>
          </w:p>
        </w:tc>
      </w:tr>
      <w:tr>
        <w:tc>
          <w:tcPr>
            <w:tcW w:type="dxa" w:w="1701"/>
          </w:tcPr>
          <w:p>
            <w:pPr>
              <w:spacing w:after="40"/>
            </w:pPr>
            <w:r/>
            <w:r>
              <w:rPr>
                <w:sz w:val="19"/>
              </w:rPr>
              <w:t>Period 2</w:t>
            </w:r>
          </w:p>
        </w:tc>
        <w:tc>
          <w:tcPr>
            <w:tcW w:type="dxa" w:w="7654"/>
          </w:tcPr>
          <w:p>
            <w:pPr>
              <w:spacing w:after="40"/>
            </w:pPr>
            <w:r/>
            <w:r>
              <w:rPr>
                <w:sz w:val="19"/>
              </w:rPr>
              <w:t>Compare two age-appropriate information sources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“Digital Research Skills” to learners’ home, school or community experiences. Ask 2–3 short questions and accept examples in familiar Nigerian contexts.</w:t>
      </w:r>
    </w:p>
    <w:p>
      <w:pPr>
        <w:pStyle w:val="ListBullet"/>
      </w:pPr>
      <w:r>
        <w:t>Explain and model the first part of the scheme content: Period 1: Search terms; reliable sources Period 2: Compare two age-appropriate information sources.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“Digital Research Skills”?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“Digital Research Skills”.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Third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