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Pseudocode</w:t>
      </w:r>
    </w:p>
    <w:p>
      <w:pPr>
        <w:spacing w:after="120"/>
        <w:jc w:val="center"/>
      </w:pPr>
      <w:r>
        <w:rPr>
          <w:b/>
          <w:i w:val="0"/>
          <w:color w:val="4C1D95"/>
          <w:sz w:val="30"/>
        </w:rPr>
        <w:t>Primary 3 · Third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Third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4 of Third Term</w:t>
            </w:r>
          </w:p>
        </w:tc>
      </w:tr>
      <w:tr>
        <w:tc>
          <w:tcPr>
            <w:tcW w:type="dxa" w:w="2551"/>
          </w:tcPr>
          <w:p>
            <w:pPr>
              <w:spacing w:after="40"/>
            </w:pPr>
            <w:r/>
            <w:r>
              <w:rPr>
                <w:sz w:val="19"/>
              </w:rPr>
              <w:t>Topic</w:t>
            </w:r>
          </w:p>
        </w:tc>
        <w:tc>
          <w:tcPr>
            <w:tcW w:type="dxa" w:w="6803"/>
          </w:tcPr>
          <w:p>
            <w:pPr>
              <w:spacing w:after="40"/>
            </w:pPr>
            <w:r/>
            <w:r>
              <w:rPr>
                <w:sz w:val="19"/>
              </w:rPr>
              <w:t>Pseudocode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'Pseudocode'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Plain-language steps; indentation as order</w:t>
            </w:r>
          </w:p>
        </w:tc>
      </w:tr>
      <w:tr>
        <w:tc>
          <w:tcPr>
            <w:tcW w:type="dxa" w:w="1701"/>
          </w:tcPr>
          <w:p>
            <w:pPr>
              <w:spacing w:after="40"/>
            </w:pPr>
            <w:r/>
            <w:r>
              <w:rPr>
                <w:sz w:val="19"/>
              </w:rPr>
              <w:t>Period 2</w:t>
            </w:r>
          </w:p>
        </w:tc>
        <w:tc>
          <w:tcPr>
            <w:tcW w:type="dxa" w:w="7654"/>
          </w:tcPr>
          <w:p>
            <w:pPr>
              <w:spacing w:after="40"/>
            </w:pPr>
            <w:r/>
            <w:r>
              <w:rPr>
                <w:sz w:val="19"/>
              </w:rPr>
              <w:t>Convert a flowchart into pseudocode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“Pseudocode” to learners’ home, school or community experiences. Ask 2–3 short questions and accept examples in familiar Nigerian contexts.</w:t>
      </w:r>
    </w:p>
    <w:p>
      <w:pPr>
        <w:pStyle w:val="ListBullet"/>
      </w:pPr>
      <w:r>
        <w:t>Explain and model the first part of the scheme content: Period 1: Plain-language steps; indentation as order Period 2: Convert a flowchart into pseudocode.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“Pseudocode”?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“Pseudocode”.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Third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