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Build and Test</w:t>
      </w:r>
    </w:p>
    <w:p>
      <w:pPr>
        <w:spacing w:after="120"/>
        <w:jc w:val="center"/>
      </w:pPr>
      <w:r>
        <w:rPr>
          <w:b/>
          <w:i w:val="0"/>
          <w:color w:val="4C1D95"/>
          <w:sz w:val="30"/>
        </w:rPr>
        <w:t>Primary 3 · Third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9 of Third Term</w:t>
            </w:r>
          </w:p>
        </w:tc>
      </w:tr>
      <w:tr>
        <w:tc>
          <w:tcPr>
            <w:tcW w:type="dxa" w:w="2551"/>
          </w:tcPr>
          <w:p>
            <w:pPr>
              <w:spacing w:after="40"/>
            </w:pPr>
            <w:r/>
            <w:r>
              <w:rPr>
                <w:sz w:val="19"/>
              </w:rPr>
              <w:t>Topic</w:t>
            </w:r>
          </w:p>
        </w:tc>
        <w:tc>
          <w:tcPr>
            <w:tcW w:type="dxa" w:w="6803"/>
          </w:tcPr>
          <w:p>
            <w:pPr>
              <w:spacing w:after="40"/>
            </w:pPr>
            <w:r/>
            <w:r>
              <w:rPr>
                <w:sz w:val="19"/>
              </w:rPr>
              <w:t>Project Build and Test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Build and Test'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Create poster, animation or paper prototype; test</w:t>
            </w:r>
          </w:p>
        </w:tc>
      </w:tr>
      <w:tr>
        <w:tc>
          <w:tcPr>
            <w:tcW w:type="dxa" w:w="1701"/>
          </w:tcPr>
          <w:p>
            <w:pPr>
              <w:spacing w:after="40"/>
            </w:pPr>
            <w:r/>
            <w:r>
              <w:rPr>
                <w:sz w:val="19"/>
              </w:rPr>
              <w:t>Period 2</w:t>
            </w:r>
          </w:p>
        </w:tc>
        <w:tc>
          <w:tcPr>
            <w:tcW w:type="dxa" w:w="7654"/>
          </w:tcPr>
          <w:p>
            <w:pPr>
              <w:spacing w:after="40"/>
            </w:pPr>
            <w:r/>
            <w:r>
              <w:rPr>
                <w:sz w:val="19"/>
              </w:rPr>
              <w:t>Collect feedback and improve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Build and Test” to learners’ home, school or community experiences. Ask 2–3 short questions and accept examples in familiar Nigerian contexts.</w:t>
      </w:r>
    </w:p>
    <w:p>
      <w:pPr>
        <w:pStyle w:val="ListBullet"/>
      </w:pPr>
      <w:r>
        <w:t>Explain and model the first part of the scheme content: Period 1: Create poster, animation or paper prototype; test Period 2: Collect feedback and improve.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Build and Test”?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Build and Test”.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