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Internet and Search</w:t>
      </w:r>
    </w:p>
    <w:p>
      <w:pPr>
        <w:spacing w:after="120"/>
        <w:jc w:val="center"/>
      </w:pPr>
      <w:r>
        <w:rPr>
          <w:b/>
          <w:i w:val="0"/>
          <w:color w:val="4C1D95"/>
          <w:sz w:val="30"/>
        </w:rPr>
        <w:t>Primary 4 · First Term · Week 3</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First Term, Week 3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3 of First Term</w:t>
            </w:r>
          </w:p>
        </w:tc>
      </w:tr>
      <w:tr>
        <w:tc>
          <w:tcPr>
            <w:tcW w:type="dxa" w:w="2551"/>
          </w:tcPr>
          <w:p>
            <w:pPr>
              <w:spacing w:after="40"/>
            </w:pPr>
            <w:r/>
            <w:r>
              <w:rPr>
                <w:sz w:val="19"/>
              </w:rPr>
              <w:t>Topic</w:t>
            </w:r>
          </w:p>
        </w:tc>
        <w:tc>
          <w:tcPr>
            <w:tcW w:type="dxa" w:w="6803"/>
          </w:tcPr>
          <w:p>
            <w:pPr>
              <w:spacing w:after="40"/>
            </w:pPr>
            <w:r/>
            <w:r>
              <w:rPr>
                <w:sz w:val="19"/>
              </w:rPr>
              <w:t>Internet and Search</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'Internet and Search'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Browser basics; search terms</w:t>
            </w:r>
          </w:p>
        </w:tc>
      </w:tr>
      <w:tr>
        <w:tc>
          <w:tcPr>
            <w:tcW w:type="dxa" w:w="1701"/>
          </w:tcPr>
          <w:p>
            <w:pPr>
              <w:spacing w:after="40"/>
            </w:pPr>
            <w:r/>
            <w:r>
              <w:rPr>
                <w:sz w:val="19"/>
              </w:rPr>
              <w:t>Period 2</w:t>
            </w:r>
          </w:p>
        </w:tc>
        <w:tc>
          <w:tcPr>
            <w:tcW w:type="dxa" w:w="7654"/>
          </w:tcPr>
          <w:p>
            <w:pPr>
              <w:spacing w:after="40"/>
            </w:pPr>
            <w:r/>
            <w:r>
              <w:rPr>
                <w:sz w:val="19"/>
              </w:rPr>
              <w:t>Find teacher-approved information</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“Internet and Search” to learners’ home, school or community experiences. Ask 2–3 short questions and accept examples in familiar Nigerian contexts.</w:t>
      </w:r>
    </w:p>
    <w:p>
      <w:pPr>
        <w:pStyle w:val="ListBullet"/>
      </w:pPr>
      <w:r>
        <w:t>Explain and model the first part of the scheme content: Period 1: Browser basics; search terms Period 2: Find teacher-approved information.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“Internet and Search”?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“Internet and Search”.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First Term,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