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and Tables</w:t>
      </w:r>
    </w:p>
    <w:p>
      <w:pPr>
        <w:spacing w:after="120"/>
        <w:jc w:val="center"/>
      </w:pPr>
      <w:r>
        <w:rPr>
          <w:b/>
          <w:i w:val="0"/>
          <w:color w:val="4C1D95"/>
          <w:sz w:val="30"/>
        </w:rPr>
        <w:t>Primary 4 · First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4 of First Term</w:t>
            </w:r>
          </w:p>
        </w:tc>
      </w:tr>
      <w:tr>
        <w:tc>
          <w:tcPr>
            <w:tcW w:type="dxa" w:w="2551"/>
          </w:tcPr>
          <w:p>
            <w:pPr>
              <w:spacing w:after="40"/>
            </w:pPr>
            <w:r/>
            <w:r>
              <w:rPr>
                <w:sz w:val="19"/>
              </w:rPr>
              <w:t>Topic</w:t>
            </w:r>
          </w:p>
        </w:tc>
        <w:tc>
          <w:tcPr>
            <w:tcW w:type="dxa" w:w="6803"/>
          </w:tcPr>
          <w:p>
            <w:pPr>
              <w:spacing w:after="40"/>
            </w:pPr>
            <w:r/>
            <w:r>
              <w:rPr>
                <w:sz w:val="19"/>
              </w:rPr>
              <w:t>Data and Tables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and Tables'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Variables; rows and columns</w:t>
            </w:r>
          </w:p>
        </w:tc>
      </w:tr>
      <w:tr>
        <w:tc>
          <w:tcPr>
            <w:tcW w:type="dxa" w:w="1701"/>
          </w:tcPr>
          <w:p>
            <w:pPr>
              <w:spacing w:after="40"/>
            </w:pPr>
            <w:r/>
            <w:r>
              <w:rPr>
                <w:sz w:val="19"/>
              </w:rPr>
              <w:t>Period 2</w:t>
            </w:r>
          </w:p>
        </w:tc>
        <w:tc>
          <w:tcPr>
            <w:tcW w:type="dxa" w:w="7654"/>
          </w:tcPr>
          <w:p>
            <w:pPr>
              <w:spacing w:after="40"/>
            </w:pPr>
            <w:r/>
            <w:r>
              <w:rPr>
                <w:sz w:val="19"/>
              </w:rPr>
              <w:t>Collect and organise non-sensitive data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and Tables” to learners’ home, school or community experiences. Ask 2–3 short questions and accept examples in familiar Nigerian contexts.</w:t>
      </w:r>
    </w:p>
    <w:p>
      <w:pPr>
        <w:pStyle w:val="ListBullet"/>
      </w:pPr>
      <w:r>
        <w:t>Explain and model the first part of the scheme content: Period 1: Variables; rows and columns Period 2: Collect and organise non-sensitive data.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and Tables”?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and Tables”.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