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Block Coding</w:t>
      </w:r>
    </w:p>
    <w:p>
      <w:pPr>
        <w:spacing w:after="120"/>
        <w:jc w:val="center"/>
      </w:pPr>
      <w:r>
        <w:rPr>
          <w:b/>
          <w:i w:val="0"/>
          <w:color w:val="4C1D95"/>
          <w:sz w:val="30"/>
        </w:rPr>
        <w:t>Primary 4 · First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First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8 of First Term</w:t>
            </w:r>
          </w:p>
        </w:tc>
      </w:tr>
      <w:tr>
        <w:tc>
          <w:tcPr>
            <w:tcW w:type="dxa" w:w="2551"/>
          </w:tcPr>
          <w:p>
            <w:pPr>
              <w:spacing w:after="40"/>
            </w:pPr>
            <w:r/>
            <w:r>
              <w:rPr>
                <w:sz w:val="19"/>
              </w:rPr>
              <w:t>Topic</w:t>
            </w:r>
          </w:p>
        </w:tc>
        <w:tc>
          <w:tcPr>
            <w:tcW w:type="dxa" w:w="6803"/>
          </w:tcPr>
          <w:p>
            <w:pPr>
              <w:spacing w:after="40"/>
            </w:pPr>
            <w:r/>
            <w:r>
              <w:rPr>
                <w:sz w:val="19"/>
              </w:rPr>
              <w:t>Block Coding</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'Block Coding'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Sprites; events; sequences</w:t>
            </w:r>
          </w:p>
        </w:tc>
      </w:tr>
      <w:tr>
        <w:tc>
          <w:tcPr>
            <w:tcW w:type="dxa" w:w="1701"/>
          </w:tcPr>
          <w:p>
            <w:pPr>
              <w:spacing w:after="40"/>
            </w:pPr>
            <w:r/>
            <w:r>
              <w:rPr>
                <w:sz w:val="19"/>
              </w:rPr>
              <w:t>Period 2</w:t>
            </w:r>
          </w:p>
        </w:tc>
        <w:tc>
          <w:tcPr>
            <w:tcW w:type="dxa" w:w="7654"/>
          </w:tcPr>
          <w:p>
            <w:pPr>
              <w:spacing w:after="40"/>
            </w:pPr>
            <w:r/>
            <w:r>
              <w:rPr>
                <w:sz w:val="19"/>
              </w:rPr>
              <w:t>Create a short interactive scene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“Block Coding” to learners’ home, school or community experiences. Ask 2–3 short questions and accept examples in familiar Nigerian contexts.</w:t>
      </w:r>
    </w:p>
    <w:p>
      <w:pPr>
        <w:pStyle w:val="ListBullet"/>
      </w:pPr>
      <w:r>
        <w:t>Explain and model the first part of the scheme content: Period 1: Sprites; events; sequences Period 2: Create a short interactive scene.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“Block Coding”?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“Block Coding”.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First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