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Loops and Conditions</w:t>
      </w:r>
    </w:p>
    <w:p>
      <w:pPr>
        <w:spacing w:after="120"/>
        <w:jc w:val="center"/>
      </w:pPr>
      <w:r>
        <w:rPr>
          <w:b/>
          <w:i w:val="0"/>
          <w:color w:val="4C1D95"/>
          <w:sz w:val="30"/>
        </w:rPr>
        <w:t>Primary 4 · First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First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9 of First Term</w:t>
            </w:r>
          </w:p>
        </w:tc>
      </w:tr>
      <w:tr>
        <w:tc>
          <w:tcPr>
            <w:tcW w:type="dxa" w:w="2551"/>
          </w:tcPr>
          <w:p>
            <w:pPr>
              <w:spacing w:after="40"/>
            </w:pPr>
            <w:r/>
            <w:r>
              <w:rPr>
                <w:sz w:val="19"/>
              </w:rPr>
              <w:t>Topic</w:t>
            </w:r>
          </w:p>
        </w:tc>
        <w:tc>
          <w:tcPr>
            <w:tcW w:type="dxa" w:w="6803"/>
          </w:tcPr>
          <w:p>
            <w:pPr>
              <w:spacing w:after="40"/>
            </w:pPr>
            <w:r/>
            <w:r>
              <w:rPr>
                <w:sz w:val="19"/>
              </w:rPr>
              <w:t>Loops and Conditions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'Loops and Conditions'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Repeat; if/then</w:t>
            </w:r>
          </w:p>
        </w:tc>
      </w:tr>
      <w:tr>
        <w:tc>
          <w:tcPr>
            <w:tcW w:type="dxa" w:w="1701"/>
          </w:tcPr>
          <w:p>
            <w:pPr>
              <w:spacing w:after="40"/>
            </w:pPr>
            <w:r/>
            <w:r>
              <w:rPr>
                <w:sz w:val="19"/>
              </w:rPr>
              <w:t>Period 2</w:t>
            </w:r>
          </w:p>
        </w:tc>
        <w:tc>
          <w:tcPr>
            <w:tcW w:type="dxa" w:w="7654"/>
          </w:tcPr>
          <w:p>
            <w:pPr>
              <w:spacing w:after="40"/>
            </w:pPr>
            <w:r/>
            <w:r>
              <w:rPr>
                <w:sz w:val="19"/>
              </w:rPr>
              <w:t>Build a decision-based animation</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“Loops and Conditions” to learners’ home, school or community experiences. Ask 2–3 short questions and accept examples in familiar Nigerian contexts.</w:t>
      </w:r>
    </w:p>
    <w:p>
      <w:pPr>
        <w:pStyle w:val="ListBullet"/>
      </w:pPr>
      <w:r>
        <w:t>Explain and model the first part of the scheme content: Period 1: Repeat; if/then Period 2: Build a decision-based animation.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“Loops and Conditions”?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“Loops and Conditions”.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First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