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and Review</w:t>
      </w:r>
    </w:p>
    <w:p>
      <w:pPr>
        <w:spacing w:after="120"/>
        <w:jc w:val="center"/>
      </w:pPr>
      <w:r>
        <w:rPr>
          <w:b/>
          <w:i w:val="0"/>
          <w:color w:val="4C1D95"/>
          <w:sz w:val="30"/>
        </w:rPr>
        <w:t>Primary 4 · Second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10 of Second Term</w:t>
            </w:r>
          </w:p>
        </w:tc>
      </w:tr>
      <w:tr>
        <w:tc>
          <w:tcPr>
            <w:tcW w:type="dxa" w:w="2551"/>
          </w:tcPr>
          <w:p>
            <w:pPr>
              <w:spacing w:after="40"/>
            </w:pPr>
            <w:r/>
            <w:r>
              <w:rPr>
                <w:sz w:val="19"/>
              </w:rPr>
              <w:t>Topic</w:t>
            </w:r>
          </w:p>
        </w:tc>
        <w:tc>
          <w:tcPr>
            <w:tcW w:type="dxa" w:w="6803"/>
          </w:tcPr>
          <w:p>
            <w:pPr>
              <w:spacing w:after="40"/>
            </w:pPr>
            <w:r/>
            <w:r>
              <w:rPr>
                <w:sz w:val="19"/>
              </w:rPr>
              <w:t>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Combine data and code; presentation</w:t>
            </w:r>
          </w:p>
        </w:tc>
      </w:tr>
      <w:tr>
        <w:tc>
          <w:tcPr>
            <w:tcW w:type="dxa" w:w="1701"/>
          </w:tcPr>
          <w:p>
            <w:pPr>
              <w:spacing w:after="40"/>
            </w:pPr>
            <w:r/>
            <w:r>
              <w:rPr>
                <w:sz w:val="19"/>
              </w:rPr>
              <w:t>Period 2</w:t>
            </w:r>
          </w:p>
        </w:tc>
        <w:tc>
          <w:tcPr>
            <w:tcW w:type="dxa" w:w="7654"/>
          </w:tcPr>
          <w:p>
            <w:pPr>
              <w:spacing w:after="40"/>
            </w:pPr>
            <w:r/>
            <w:r>
              <w:rPr>
                <w:sz w:val="19"/>
              </w:rPr>
              <w:t>Present and self-assess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and Review” to learners’ home, school or community experiences. Ask 2–3 short questions and accept examples in familiar Nigerian contexts.</w:t>
      </w:r>
    </w:p>
    <w:p>
      <w:pPr>
        <w:pStyle w:val="ListBullet"/>
      </w:pPr>
      <w:r>
        <w:t>Explain and model the first part of the scheme content: Period 1: Combine data and code; presentation Period 2: Present and self-assess.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