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Spreadsheets</w:t>
      </w:r>
    </w:p>
    <w:p>
      <w:pPr>
        <w:spacing w:after="120"/>
        <w:jc w:val="center"/>
      </w:pPr>
      <w:r>
        <w:rPr>
          <w:b/>
          <w:i w:val="0"/>
          <w:color w:val="4C1D95"/>
          <w:sz w:val="30"/>
        </w:rPr>
        <w:t>Primary 4 · Second Term · Week 2</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4, Second Term, Week 2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4</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Second Term</w:t>
            </w:r>
          </w:p>
        </w:tc>
      </w:tr>
      <w:tr>
        <w:tc>
          <w:tcPr>
            <w:tcW w:type="dxa" w:w="2551"/>
          </w:tcPr>
          <w:p>
            <w:pPr>
              <w:spacing w:after="40"/>
            </w:pPr>
            <w:r/>
            <w:r>
              <w:rPr>
                <w:sz w:val="19"/>
              </w:rPr>
              <w:t>Week</w:t>
            </w:r>
          </w:p>
        </w:tc>
        <w:tc>
          <w:tcPr>
            <w:tcW w:type="dxa" w:w="6803"/>
          </w:tcPr>
          <w:p>
            <w:pPr>
              <w:spacing w:after="40"/>
            </w:pPr>
            <w:r/>
            <w:r>
              <w:rPr>
                <w:sz w:val="19"/>
              </w:rPr>
              <w:t>Week 2 of Second Term</w:t>
            </w:r>
          </w:p>
        </w:tc>
      </w:tr>
      <w:tr>
        <w:tc>
          <w:tcPr>
            <w:tcW w:type="dxa" w:w="2551"/>
          </w:tcPr>
          <w:p>
            <w:pPr>
              <w:spacing w:after="40"/>
            </w:pPr>
            <w:r/>
            <w:r>
              <w:rPr>
                <w:sz w:val="19"/>
              </w:rPr>
              <w:t>Topic</w:t>
            </w:r>
          </w:p>
        </w:tc>
        <w:tc>
          <w:tcPr>
            <w:tcW w:type="dxa" w:w="6803"/>
          </w:tcPr>
          <w:p>
            <w:pPr>
              <w:spacing w:after="40"/>
            </w:pPr>
            <w:r/>
            <w:r>
              <w:rPr>
                <w:sz w:val="19"/>
              </w:rPr>
              <w:t>Spreadsheets</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'Spreadsheets'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Cells; formulas; sorting</w:t>
            </w:r>
          </w:p>
        </w:tc>
      </w:tr>
      <w:tr>
        <w:tc>
          <w:tcPr>
            <w:tcW w:type="dxa" w:w="1701"/>
          </w:tcPr>
          <w:p>
            <w:pPr>
              <w:spacing w:after="40"/>
            </w:pPr>
            <w:r/>
            <w:r>
              <w:rPr>
                <w:sz w:val="19"/>
              </w:rPr>
              <w:t>Period 2</w:t>
            </w:r>
          </w:p>
        </w:tc>
        <w:tc>
          <w:tcPr>
            <w:tcW w:type="dxa" w:w="7654"/>
          </w:tcPr>
          <w:p>
            <w:pPr>
              <w:spacing w:after="40"/>
            </w:pPr>
            <w:r/>
            <w:r>
              <w:rPr>
                <w:sz w:val="19"/>
              </w:rPr>
              <w:t>Calculate totals from sample survey</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“Spreadsheets” to learners’ home, school or community experiences. Ask 2–3 short questions and accept examples in familiar Nigerian contexts.</w:t>
      </w:r>
    </w:p>
    <w:p>
      <w:pPr>
        <w:pStyle w:val="ListBullet"/>
      </w:pPr>
      <w:r>
        <w:t>Explain and model the first part of the scheme content: Period 1: Cells; formulas; sorting Period 2: Calculate totals from sample survey.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“Spreadsheets”?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“Spreadsheets”.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4, Second Term, Week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