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Charts and Interpretation</w:t>
      </w:r>
    </w:p>
    <w:p>
      <w:pPr>
        <w:spacing w:after="120"/>
        <w:jc w:val="center"/>
      </w:pPr>
      <w:r>
        <w:rPr>
          <w:b/>
          <w:i w:val="0"/>
          <w:color w:val="4C1D95"/>
          <w:sz w:val="30"/>
        </w:rPr>
        <w:t>Primary 4 · Second Term · Week 3</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4, Second Term, Week 3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4</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3 of Second Term</w:t>
            </w:r>
          </w:p>
        </w:tc>
      </w:tr>
      <w:tr>
        <w:tc>
          <w:tcPr>
            <w:tcW w:type="dxa" w:w="2551"/>
          </w:tcPr>
          <w:p>
            <w:pPr>
              <w:spacing w:after="40"/>
            </w:pPr>
            <w:r/>
            <w:r>
              <w:rPr>
                <w:sz w:val="19"/>
              </w:rPr>
              <w:t>Topic</w:t>
            </w:r>
          </w:p>
        </w:tc>
        <w:tc>
          <w:tcPr>
            <w:tcW w:type="dxa" w:w="6803"/>
          </w:tcPr>
          <w:p>
            <w:pPr>
              <w:spacing w:after="40"/>
            </w:pPr>
            <w:r/>
            <w:r>
              <w:rPr>
                <w:sz w:val="19"/>
              </w:rPr>
              <w:t>Charts and Interpretation</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'Charts and Interpretation'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Bar/line/pie charts; fair scales</w:t>
            </w:r>
          </w:p>
        </w:tc>
      </w:tr>
      <w:tr>
        <w:tc>
          <w:tcPr>
            <w:tcW w:type="dxa" w:w="1701"/>
          </w:tcPr>
          <w:p>
            <w:pPr>
              <w:spacing w:after="40"/>
            </w:pPr>
            <w:r/>
            <w:r>
              <w:rPr>
                <w:sz w:val="19"/>
              </w:rPr>
              <w:t>Period 2</w:t>
            </w:r>
          </w:p>
        </w:tc>
        <w:tc>
          <w:tcPr>
            <w:tcW w:type="dxa" w:w="7654"/>
          </w:tcPr>
          <w:p>
            <w:pPr>
              <w:spacing w:after="40"/>
            </w:pPr>
            <w:r/>
            <w:r>
              <w:rPr>
                <w:sz w:val="19"/>
              </w:rPr>
              <w:t>Create chart and state two findings</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“Charts and Interpretation” to learners’ home, school or community experiences. Ask 2–3 short questions and accept examples in familiar Nigerian contexts.</w:t>
      </w:r>
    </w:p>
    <w:p>
      <w:pPr>
        <w:pStyle w:val="ListBullet"/>
      </w:pPr>
      <w:r>
        <w:t>Explain and model the first part of the scheme content: Period 1: Bar/line/pie charts; fair scales Period 2: Create chart and state two findings.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“Charts and Interpretation”?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“Charts and Interpretation”.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4, Second Term, Week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