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Debugging</w:t>
      </w:r>
    </w:p>
    <w:p>
      <w:pPr>
        <w:spacing w:after="120"/>
        <w:jc w:val="center"/>
      </w:pPr>
      <w:r>
        <w:rPr>
          <w:b/>
          <w:i w:val="0"/>
          <w:color w:val="4C1D95"/>
          <w:sz w:val="30"/>
        </w:rPr>
        <w:t>Primary 4 · Second Term · Week 6</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Second Term, Week 6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6 of Second Term</w:t>
            </w:r>
          </w:p>
        </w:tc>
      </w:tr>
      <w:tr>
        <w:tc>
          <w:tcPr>
            <w:tcW w:type="dxa" w:w="2551"/>
          </w:tcPr>
          <w:p>
            <w:pPr>
              <w:spacing w:after="40"/>
            </w:pPr>
            <w:r/>
            <w:r>
              <w:rPr>
                <w:sz w:val="19"/>
              </w:rPr>
              <w:t>Topic</w:t>
            </w:r>
          </w:p>
        </w:tc>
        <w:tc>
          <w:tcPr>
            <w:tcW w:type="dxa" w:w="6803"/>
          </w:tcPr>
          <w:p>
            <w:pPr>
              <w:spacing w:after="40"/>
            </w:pPr>
            <w:r/>
            <w:r>
              <w:rPr>
                <w:sz w:val="19"/>
              </w:rPr>
              <w:t>Debugging</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'Debugging'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Test cases; errors; revision</w:t>
            </w:r>
          </w:p>
        </w:tc>
      </w:tr>
      <w:tr>
        <w:tc>
          <w:tcPr>
            <w:tcW w:type="dxa" w:w="1701"/>
          </w:tcPr>
          <w:p>
            <w:pPr>
              <w:spacing w:after="40"/>
            </w:pPr>
            <w:r/>
            <w:r>
              <w:rPr>
                <w:sz w:val="19"/>
              </w:rPr>
              <w:t>Period 2</w:t>
            </w:r>
          </w:p>
        </w:tc>
        <w:tc>
          <w:tcPr>
            <w:tcW w:type="dxa" w:w="7654"/>
          </w:tcPr>
          <w:p>
            <w:pPr>
              <w:spacing w:after="40"/>
            </w:pPr>
            <w:r/>
            <w:r>
              <w:rPr>
                <w:sz w:val="19"/>
              </w:rPr>
              <w:t>Fix a broken program</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“Debugging” to learners’ home, school or community experiences. Ask 2–3 short questions and accept examples in familiar Nigerian contexts.</w:t>
      </w:r>
    </w:p>
    <w:p>
      <w:pPr>
        <w:pStyle w:val="ListBullet"/>
      </w:pPr>
      <w:r>
        <w:t>Explain and model the first part of the scheme content: Period 1: Test cases; errors; revision Period 2: Fix a broken program.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“Debugging”?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“Debugging”.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Second Term,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