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Training and Testing</w:t>
      </w:r>
    </w:p>
    <w:p>
      <w:pPr>
        <w:spacing w:after="120"/>
        <w:jc w:val="center"/>
      </w:pPr>
      <w:r>
        <w:rPr>
          <w:b/>
          <w:i w:val="0"/>
          <w:color w:val="4C1D95"/>
          <w:sz w:val="30"/>
        </w:rPr>
        <w:t>Primary 4 · Second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8 of Second Term</w:t>
            </w:r>
          </w:p>
        </w:tc>
      </w:tr>
      <w:tr>
        <w:tc>
          <w:tcPr>
            <w:tcW w:type="dxa" w:w="2551"/>
          </w:tcPr>
          <w:p>
            <w:pPr>
              <w:spacing w:after="40"/>
            </w:pPr>
            <w:r/>
            <w:r>
              <w:rPr>
                <w:sz w:val="19"/>
              </w:rPr>
              <w:t>Topic</w:t>
            </w:r>
          </w:p>
        </w:tc>
        <w:tc>
          <w:tcPr>
            <w:tcW w:type="dxa" w:w="6803"/>
          </w:tcPr>
          <w:p>
            <w:pPr>
              <w:spacing w:after="40"/>
            </w:pPr>
            <w:r/>
            <w:r>
              <w:rPr>
                <w:sz w:val="19"/>
              </w:rPr>
              <w:t>Training and Testing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'Training and Testing'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Training examples; new examples</w:t>
            </w:r>
          </w:p>
        </w:tc>
      </w:tr>
      <w:tr>
        <w:tc>
          <w:tcPr>
            <w:tcW w:type="dxa" w:w="1701"/>
          </w:tcPr>
          <w:p>
            <w:pPr>
              <w:spacing w:after="40"/>
            </w:pPr>
            <w:r/>
            <w:r>
              <w:rPr>
                <w:sz w:val="19"/>
              </w:rPr>
              <w:t>Period 2</w:t>
            </w:r>
          </w:p>
        </w:tc>
        <w:tc>
          <w:tcPr>
            <w:tcW w:type="dxa" w:w="7654"/>
          </w:tcPr>
          <w:p>
            <w:pPr>
              <w:spacing w:after="40"/>
            </w:pPr>
            <w:r/>
            <w:r>
              <w:rPr>
                <w:sz w:val="19"/>
              </w:rPr>
              <w:t>Test the rule on unseen cards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“Training and Testing” to learners’ home, school or community experiences. Ask 2–3 short questions and accept examples in familiar Nigerian contexts.</w:t>
      </w:r>
    </w:p>
    <w:p>
      <w:pPr>
        <w:pStyle w:val="ListBullet"/>
      </w:pPr>
      <w:r>
        <w:t>Explain and model the first part of the scheme content: Period 1: Training examples; new examples Period 2: Test the rule on unseen cards.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“Training and Testing”?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“Training and Testing”.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