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Ethics and Privacy</w:t>
      </w:r>
    </w:p>
    <w:p>
      <w:pPr>
        <w:spacing w:after="120"/>
        <w:jc w:val="center"/>
      </w:pPr>
      <w:r>
        <w:rPr>
          <w:b/>
          <w:i w:val="0"/>
          <w:color w:val="4C1D95"/>
          <w:sz w:val="30"/>
        </w:rPr>
        <w:t>Primary 4 · Second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9 of Second Term</w:t>
            </w:r>
          </w:p>
        </w:tc>
      </w:tr>
      <w:tr>
        <w:tc>
          <w:tcPr>
            <w:tcW w:type="dxa" w:w="2551"/>
          </w:tcPr>
          <w:p>
            <w:pPr>
              <w:spacing w:after="40"/>
            </w:pPr>
            <w:r/>
            <w:r>
              <w:rPr>
                <w:sz w:val="19"/>
              </w:rPr>
              <w:t>Topic</w:t>
            </w:r>
          </w:p>
        </w:tc>
        <w:tc>
          <w:tcPr>
            <w:tcW w:type="dxa" w:w="6803"/>
          </w:tcPr>
          <w:p>
            <w:pPr>
              <w:spacing w:after="40"/>
            </w:pPr>
            <w:r/>
            <w:r>
              <w:rPr>
                <w:sz w:val="19"/>
              </w:rPr>
              <w:t>AI Ethics and Privacy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Ethics and Privacy'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Consent; bias; data protection</w:t>
            </w:r>
          </w:p>
        </w:tc>
      </w:tr>
      <w:tr>
        <w:tc>
          <w:tcPr>
            <w:tcW w:type="dxa" w:w="1701"/>
          </w:tcPr>
          <w:p>
            <w:pPr>
              <w:spacing w:after="40"/>
            </w:pPr>
            <w:r/>
            <w:r>
              <w:rPr>
                <w:sz w:val="19"/>
              </w:rPr>
              <w:t>Period 2</w:t>
            </w:r>
          </w:p>
        </w:tc>
        <w:tc>
          <w:tcPr>
            <w:tcW w:type="dxa" w:w="7654"/>
          </w:tcPr>
          <w:p>
            <w:pPr>
              <w:spacing w:after="40"/>
            </w:pPr>
            <w:r/>
            <w:r>
              <w:rPr>
                <w:sz w:val="19"/>
              </w:rPr>
              <w:t>Review a classroom scenario</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Ethics and Privacy” to learners’ home, school or community experiences. Ask 2–3 short questions and accept examples in familiar Nigerian contexts.</w:t>
      </w:r>
    </w:p>
    <w:p>
      <w:pPr>
        <w:pStyle w:val="ListBullet"/>
      </w:pPr>
      <w:r>
        <w:t>Explain and model the first part of the scheme content: Period 1: Consent; bias; data protection Period 2: Review a classroom scenario.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Ethics and Privacy”?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Ethics and Privacy”.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