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Showcase and Review</w:t>
      </w:r>
    </w:p>
    <w:p>
      <w:pPr>
        <w:spacing w:after="120"/>
        <w:jc w:val="center"/>
      </w:pPr>
      <w:r>
        <w:rPr>
          <w:b/>
          <w:i w:val="0"/>
          <w:color w:val="4C1D95"/>
          <w:sz w:val="30"/>
        </w:rPr>
        <w:t>Primary 4 · Third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Third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10 of Third Term</w:t>
            </w:r>
          </w:p>
        </w:tc>
      </w:tr>
      <w:tr>
        <w:tc>
          <w:tcPr>
            <w:tcW w:type="dxa" w:w="2551"/>
          </w:tcPr>
          <w:p>
            <w:pPr>
              <w:spacing w:after="40"/>
            </w:pPr>
            <w:r/>
            <w:r>
              <w:rPr>
                <w:sz w:val="19"/>
              </w:rPr>
              <w:t>Topic</w:t>
            </w:r>
          </w:p>
        </w:tc>
        <w:tc>
          <w:tcPr>
            <w:tcW w:type="dxa" w:w="6803"/>
          </w:tcPr>
          <w:p>
            <w:pPr>
              <w:spacing w:after="40"/>
            </w:pPr>
            <w:r/>
            <w:r>
              <w:rPr>
                <w:sz w:val="19"/>
              </w:rPr>
              <w:t>Showcase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'Showcase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Demonstration; reflection</w:t>
            </w:r>
          </w:p>
        </w:tc>
      </w:tr>
      <w:tr>
        <w:tc>
          <w:tcPr>
            <w:tcW w:type="dxa" w:w="1701"/>
          </w:tcPr>
          <w:p>
            <w:pPr>
              <w:spacing w:after="40"/>
            </w:pPr>
            <w:r/>
            <w:r>
              <w:rPr>
                <w:sz w:val="19"/>
              </w:rPr>
              <w:t>Period 2</w:t>
            </w:r>
          </w:p>
        </w:tc>
        <w:tc>
          <w:tcPr>
            <w:tcW w:type="dxa" w:w="7654"/>
          </w:tcPr>
          <w:p>
            <w:pPr>
              <w:spacing w:after="40"/>
            </w:pPr>
            <w:r/>
            <w:r>
              <w:rPr>
                <w:sz w:val="19"/>
              </w:rPr>
              <w:t>Present project and recap</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“Showcase and Review” to learners’ home, school or community experiences. Ask 2–3 short questions and accept examples in familiar Nigerian contexts.</w:t>
      </w:r>
    </w:p>
    <w:p>
      <w:pPr>
        <w:pStyle w:val="ListBullet"/>
      </w:pPr>
      <w:r>
        <w:t>Explain and model the first part of the scheme content: Period 1: Demonstration; reflection Period 2: Present project and recap.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“Showcase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“Showcase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Third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