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Year Review</w:t>
      </w:r>
    </w:p>
    <w:p>
      <w:pPr>
        <w:spacing w:after="120"/>
        <w:jc w:val="center"/>
      </w:pPr>
      <w:r>
        <w:rPr>
          <w:b/>
          <w:i w:val="0"/>
          <w:color w:val="4C1D95"/>
          <w:sz w:val="30"/>
        </w:rPr>
        <w:t>Primary 4 · Third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Third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 of Third Term</w:t>
            </w:r>
          </w:p>
        </w:tc>
      </w:tr>
      <w:tr>
        <w:tc>
          <w:tcPr>
            <w:tcW w:type="dxa" w:w="2551"/>
          </w:tcPr>
          <w:p>
            <w:pPr>
              <w:spacing w:after="40"/>
            </w:pPr>
            <w:r/>
            <w:r>
              <w:rPr>
                <w:sz w:val="19"/>
              </w:rPr>
              <w:t>Topic</w:t>
            </w:r>
          </w:p>
        </w:tc>
        <w:tc>
          <w:tcPr>
            <w:tcW w:type="dxa" w:w="6803"/>
          </w:tcPr>
          <w:p>
            <w:pPr>
              <w:spacing w:after="40"/>
            </w:pPr>
            <w:r/>
            <w:r>
              <w:rPr>
                <w:sz w:val="19"/>
              </w:rPr>
              <w:t>Year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'Year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Coding, data and AI</w:t>
            </w:r>
          </w:p>
        </w:tc>
      </w:tr>
      <w:tr>
        <w:tc>
          <w:tcPr>
            <w:tcW w:type="dxa" w:w="1701"/>
          </w:tcPr>
          <w:p>
            <w:pPr>
              <w:spacing w:after="40"/>
            </w:pPr>
            <w:r/>
            <w:r>
              <w:rPr>
                <w:sz w:val="19"/>
              </w:rPr>
              <w:t>Period 2</w:t>
            </w:r>
          </w:p>
        </w:tc>
        <w:tc>
          <w:tcPr>
            <w:tcW w:type="dxa" w:w="7654"/>
          </w:tcPr>
          <w:p>
            <w:pPr>
              <w:spacing w:after="40"/>
            </w:pPr>
            <w:r/>
            <w:r>
              <w:rPr>
                <w:sz w:val="19"/>
              </w:rPr>
              <w:t>Quick challenge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“Year Review” to learners’ home, school or community experiences. Ask 2–3 short questions and accept examples in familiar Nigerian contexts.</w:t>
      </w:r>
    </w:p>
    <w:p>
      <w:pPr>
        <w:pStyle w:val="ListBullet"/>
      </w:pPr>
      <w:r>
        <w:t>Explain and model the first part of the scheme content: Period 1: Coding, data and AI Period 2: Quick challenge.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“Year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“Year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Third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