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Web and Digital Content</w:t>
      </w:r>
    </w:p>
    <w:p>
      <w:pPr>
        <w:spacing w:after="120"/>
        <w:jc w:val="center"/>
      </w:pPr>
      <w:r>
        <w:rPr>
          <w:b/>
          <w:i w:val="0"/>
          <w:color w:val="4C1D95"/>
          <w:sz w:val="30"/>
        </w:rPr>
        <w:t>Primary 4 · Third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Third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2 of Third Term</w:t>
            </w:r>
          </w:p>
        </w:tc>
      </w:tr>
      <w:tr>
        <w:tc>
          <w:tcPr>
            <w:tcW w:type="dxa" w:w="2551"/>
          </w:tcPr>
          <w:p>
            <w:pPr>
              <w:spacing w:after="40"/>
            </w:pPr>
            <w:r/>
            <w:r>
              <w:rPr>
                <w:sz w:val="19"/>
              </w:rPr>
              <w:t>Topic</w:t>
            </w:r>
          </w:p>
        </w:tc>
        <w:tc>
          <w:tcPr>
            <w:tcW w:type="dxa" w:w="6803"/>
          </w:tcPr>
          <w:p>
            <w:pPr>
              <w:spacing w:after="40"/>
            </w:pPr>
            <w:r/>
            <w:r>
              <w:rPr>
                <w:sz w:val="19"/>
              </w:rPr>
              <w:t>Web and Digital Content</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'Web and Digital Content'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Web page purpose; headings and images</w:t>
            </w:r>
          </w:p>
        </w:tc>
      </w:tr>
      <w:tr>
        <w:tc>
          <w:tcPr>
            <w:tcW w:type="dxa" w:w="1701"/>
          </w:tcPr>
          <w:p>
            <w:pPr>
              <w:spacing w:after="40"/>
            </w:pPr>
            <w:r/>
            <w:r>
              <w:rPr>
                <w:sz w:val="19"/>
              </w:rPr>
              <w:t>Period 2</w:t>
            </w:r>
          </w:p>
        </w:tc>
        <w:tc>
          <w:tcPr>
            <w:tcW w:type="dxa" w:w="7654"/>
          </w:tcPr>
          <w:p>
            <w:pPr>
              <w:spacing w:after="40"/>
            </w:pPr>
            <w:r/>
            <w:r>
              <w:rPr>
                <w:sz w:val="19"/>
              </w:rPr>
              <w:t>Plan a simple information page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“Web and Digital Content” to learners’ home, school or community experiences. Ask 2–3 short questions and accept examples in familiar Nigerian contexts.</w:t>
      </w:r>
    </w:p>
    <w:p>
      <w:pPr>
        <w:pStyle w:val="ListBullet"/>
      </w:pPr>
      <w:r>
        <w:t>Explain and model the first part of the scheme content: Period 1: Web page purpose; headings and images Period 2: Plan a simple information page.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“Web and Digital Content”?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“Web and Digital Content”.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Third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