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and Accessibility</w:t>
      </w:r>
    </w:p>
    <w:p>
      <w:pPr>
        <w:spacing w:after="120"/>
        <w:jc w:val="center"/>
      </w:pPr>
      <w:r>
        <w:rPr>
          <w:b/>
          <w:i w:val="0"/>
          <w:color w:val="4C1D95"/>
          <w:sz w:val="30"/>
        </w:rPr>
        <w:t>Primary 4 · Third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7 of Third Term</w:t>
            </w:r>
          </w:p>
        </w:tc>
      </w:tr>
      <w:tr>
        <w:tc>
          <w:tcPr>
            <w:tcW w:type="dxa" w:w="2551"/>
          </w:tcPr>
          <w:p>
            <w:pPr>
              <w:spacing w:after="40"/>
            </w:pPr>
            <w:r/>
            <w:r>
              <w:rPr>
                <w:sz w:val="19"/>
              </w:rPr>
              <w:t>Topic</w:t>
            </w:r>
          </w:p>
        </w:tc>
        <w:tc>
          <w:tcPr>
            <w:tcW w:type="dxa" w:w="6803"/>
          </w:tcPr>
          <w:p>
            <w:pPr>
              <w:spacing w:after="40"/>
            </w:pPr>
            <w:r/>
            <w:r>
              <w:rPr>
                <w:sz w:val="19"/>
              </w:rPr>
              <w:t>AI and Accessibility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and Accessibility'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Captions; translation; assistive tools</w:t>
            </w:r>
          </w:p>
        </w:tc>
      </w:tr>
      <w:tr>
        <w:tc>
          <w:tcPr>
            <w:tcW w:type="dxa" w:w="1701"/>
          </w:tcPr>
          <w:p>
            <w:pPr>
              <w:spacing w:after="40"/>
            </w:pPr>
            <w:r/>
            <w:r>
              <w:rPr>
                <w:sz w:val="19"/>
              </w:rPr>
              <w:t>Period 2</w:t>
            </w:r>
          </w:p>
        </w:tc>
        <w:tc>
          <w:tcPr>
            <w:tcW w:type="dxa" w:w="7654"/>
          </w:tcPr>
          <w:p>
            <w:pPr>
              <w:spacing w:after="40"/>
            </w:pPr>
            <w:r/>
            <w:r>
              <w:rPr>
                <w:sz w:val="19"/>
              </w:rPr>
              <w:t>Propose an inclusive use case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and Accessibility” to learners’ home, school or community experiences. Ask 2–3 short questions and accept examples in familiar Nigerian contexts.</w:t>
      </w:r>
    </w:p>
    <w:p>
      <w:pPr>
        <w:pStyle w:val="ListBullet"/>
      </w:pPr>
      <w:r>
        <w:t>Explain and model the first part of the scheme content: Period 1: Captions; translation; assistive tools Period 2: Propose an inclusive use case.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and Accessibility”?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and Accessibility”.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