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Planning</w:t>
      </w:r>
    </w:p>
    <w:p>
      <w:pPr>
        <w:spacing w:after="120"/>
        <w:jc w:val="center"/>
      </w:pPr>
      <w:r>
        <w:rPr>
          <w:b/>
          <w:i w:val="0"/>
          <w:color w:val="4C1D95"/>
          <w:sz w:val="30"/>
        </w:rPr>
        <w:t>Primary 4 · Third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8 of Third Term</w:t>
            </w:r>
          </w:p>
        </w:tc>
      </w:tr>
      <w:tr>
        <w:tc>
          <w:tcPr>
            <w:tcW w:type="dxa" w:w="2551"/>
          </w:tcPr>
          <w:p>
            <w:pPr>
              <w:spacing w:after="40"/>
            </w:pPr>
            <w:r/>
            <w:r>
              <w:rPr>
                <w:sz w:val="19"/>
              </w:rPr>
              <w:t>Topic</w:t>
            </w:r>
          </w:p>
        </w:tc>
        <w:tc>
          <w:tcPr>
            <w:tcW w:type="dxa" w:w="6803"/>
          </w:tcPr>
          <w:p>
            <w:pPr>
              <w:spacing w:after="40"/>
            </w:pPr>
            <w:r/>
            <w:r>
              <w:rPr>
                <w:sz w:val="19"/>
              </w:rPr>
              <w:t>Project Planning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Planning'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User; problem; success criteria</w:t>
            </w:r>
          </w:p>
        </w:tc>
      </w:tr>
      <w:tr>
        <w:tc>
          <w:tcPr>
            <w:tcW w:type="dxa" w:w="1701"/>
          </w:tcPr>
          <w:p>
            <w:pPr>
              <w:spacing w:after="40"/>
            </w:pPr>
            <w:r/>
            <w:r>
              <w:rPr>
                <w:sz w:val="19"/>
              </w:rPr>
              <w:t>Period 2</w:t>
            </w:r>
          </w:p>
        </w:tc>
        <w:tc>
          <w:tcPr>
            <w:tcW w:type="dxa" w:w="7654"/>
          </w:tcPr>
          <w:p>
            <w:pPr>
              <w:spacing w:after="40"/>
            </w:pPr>
            <w:r/>
            <w:r>
              <w:rPr>
                <w:sz w:val="19"/>
              </w:rPr>
              <w:t>Prepare a one-page project plan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Planning” to learners’ home, school or community experiences. Ask 2–3 short questions and accept examples in familiar Nigerian contexts.</w:t>
      </w:r>
    </w:p>
    <w:p>
      <w:pPr>
        <w:pStyle w:val="ListBullet"/>
      </w:pPr>
      <w:r>
        <w:t>Explain and model the first part of the scheme content: Period 1: User; problem; success criteria Period 2: Prepare a one-page project plan.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Planning”?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Planning”.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