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Collection and Tables</w:t>
      </w:r>
    </w:p>
    <w:p>
      <w:pPr>
        <w:spacing w:after="120"/>
        <w:jc w:val="center"/>
      </w:pPr>
      <w:r>
        <w:rPr>
          <w:b/>
          <w:i w:val="0"/>
          <w:color w:val="4C1D95"/>
          <w:sz w:val="30"/>
        </w:rPr>
        <w:t>Primary 5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2 of First Term</w:t>
            </w:r>
          </w:p>
        </w:tc>
      </w:tr>
      <w:tr>
        <w:tc>
          <w:tcPr>
            <w:tcW w:type="dxa" w:w="2551"/>
          </w:tcPr>
          <w:p>
            <w:pPr>
              <w:spacing w:after="40"/>
            </w:pPr>
            <w:r/>
            <w:r>
              <w:rPr>
                <w:sz w:val="19"/>
              </w:rPr>
              <w:t>Topic</w:t>
            </w:r>
          </w:p>
        </w:tc>
        <w:tc>
          <w:tcPr>
            <w:tcW w:type="dxa" w:w="6803"/>
          </w:tcPr>
          <w:p>
            <w:pPr>
              <w:spacing w:after="40"/>
            </w:pPr>
            <w:r/>
            <w:r>
              <w:rPr>
                <w:sz w:val="19"/>
              </w:rPr>
              <w:t>Data Collection and Tables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Collection and Tables'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Question design; tally; tabulation</w:t>
            </w:r>
          </w:p>
        </w:tc>
      </w:tr>
      <w:tr>
        <w:tc>
          <w:tcPr>
            <w:tcW w:type="dxa" w:w="1701"/>
          </w:tcPr>
          <w:p>
            <w:pPr>
              <w:spacing w:after="40"/>
            </w:pPr>
            <w:r/>
            <w:r>
              <w:rPr>
                <w:sz w:val="19"/>
              </w:rPr>
              <w:t>Period 2</w:t>
            </w:r>
          </w:p>
        </w:tc>
        <w:tc>
          <w:tcPr>
            <w:tcW w:type="dxa" w:w="7654"/>
          </w:tcPr>
          <w:p>
            <w:pPr>
              <w:spacing w:after="40"/>
            </w:pPr>
            <w:r/>
            <w:r>
              <w:rPr>
                <w:sz w:val="19"/>
              </w:rPr>
              <w:t>Collect non-sensitive class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Collection and Tables” to learners’ home, school or community experiences. Ask 2–3 short questions and accept examples in familiar Nigerian contexts.</w:t>
      </w:r>
    </w:p>
    <w:p>
      <w:pPr>
        <w:pStyle w:val="ListBullet"/>
      </w:pPr>
      <w:r>
        <w:t>Explain and model the first part of the scheme content: Period 1: Question design; tally; tabulation Period 2: Collect non-sensitive class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Collection and Tables”?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Collection and Tables”.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