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Prompting and Checking</w:t>
      </w:r>
    </w:p>
    <w:p>
      <w:pPr>
        <w:spacing w:after="120"/>
        <w:jc w:val="center"/>
      </w:pPr>
      <w:r>
        <w:rPr>
          <w:b/>
          <w:i w:val="0"/>
          <w:color w:val="4C1D95"/>
          <w:sz w:val="30"/>
        </w:rPr>
        <w:t>Primary 5 · First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First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8 of First Term</w:t>
            </w:r>
          </w:p>
        </w:tc>
      </w:tr>
      <w:tr>
        <w:tc>
          <w:tcPr>
            <w:tcW w:type="dxa" w:w="2551"/>
          </w:tcPr>
          <w:p>
            <w:pPr>
              <w:spacing w:after="40"/>
            </w:pPr>
            <w:r/>
            <w:r>
              <w:rPr>
                <w:sz w:val="19"/>
              </w:rPr>
              <w:t>Topic</w:t>
            </w:r>
          </w:p>
        </w:tc>
        <w:tc>
          <w:tcPr>
            <w:tcW w:type="dxa" w:w="6803"/>
          </w:tcPr>
          <w:p>
            <w:pPr>
              <w:spacing w:after="40"/>
            </w:pPr>
            <w:r/>
            <w:r>
              <w:rPr>
                <w:sz w:val="19"/>
              </w:rPr>
              <w:t>Prompting and Checking</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'Prompting and Checking'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Specific instructions; verification</w:t>
            </w:r>
          </w:p>
        </w:tc>
      </w:tr>
      <w:tr>
        <w:tc>
          <w:tcPr>
            <w:tcW w:type="dxa" w:w="1701"/>
          </w:tcPr>
          <w:p>
            <w:pPr>
              <w:spacing w:after="40"/>
            </w:pPr>
            <w:r/>
            <w:r>
              <w:rPr>
                <w:sz w:val="19"/>
              </w:rPr>
              <w:t>Period 2</w:t>
            </w:r>
          </w:p>
        </w:tc>
        <w:tc>
          <w:tcPr>
            <w:tcW w:type="dxa" w:w="7654"/>
          </w:tcPr>
          <w:p>
            <w:pPr>
              <w:spacing w:after="40"/>
            </w:pPr>
            <w:r/>
            <w:r>
              <w:rPr>
                <w:sz w:val="19"/>
              </w:rPr>
              <w:t>Compare prompts and check outputs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“Prompting and Checking” to learners’ home, school or community experiences. Ask 2–3 short questions and accept examples in familiar Nigerian contexts.</w:t>
      </w:r>
    </w:p>
    <w:p>
      <w:pPr>
        <w:pStyle w:val="ListBullet"/>
      </w:pPr>
      <w:r>
        <w:t>Explain and model the first part of the scheme content: Period 1: Specific instructions; verification Period 2: Compare prompts and check outputs.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“Prompting and Checking”?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“Prompting and Checking”.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First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