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and Review</w:t>
      </w:r>
    </w:p>
    <w:p>
      <w:pPr>
        <w:spacing w:after="120"/>
        <w:jc w:val="center"/>
      </w:pPr>
      <w:r>
        <w:rPr>
          <w:b/>
          <w:i w:val="0"/>
          <w:color w:val="4C1D95"/>
          <w:sz w:val="30"/>
        </w:rPr>
        <w:t>Primary 5 · Second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10 of Second Term</w:t>
            </w:r>
          </w:p>
        </w:tc>
      </w:tr>
      <w:tr>
        <w:tc>
          <w:tcPr>
            <w:tcW w:type="dxa" w:w="2551"/>
          </w:tcPr>
          <w:p>
            <w:pPr>
              <w:spacing w:after="40"/>
            </w:pPr>
            <w:r/>
            <w:r>
              <w:rPr>
                <w:sz w:val="19"/>
              </w:rPr>
              <w:t>Topic</w:t>
            </w:r>
          </w:p>
        </w:tc>
        <w:tc>
          <w:tcPr>
            <w:tcW w:type="dxa" w:w="6803"/>
          </w:tcPr>
          <w:p>
            <w:pPr>
              <w:spacing w:after="40"/>
            </w:pPr>
            <w:r/>
            <w:r>
              <w:rPr>
                <w:sz w:val="19"/>
              </w:rPr>
              <w:t>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Build; test; present</w:t>
            </w:r>
          </w:p>
        </w:tc>
      </w:tr>
      <w:tr>
        <w:tc>
          <w:tcPr>
            <w:tcW w:type="dxa" w:w="1701"/>
          </w:tcPr>
          <w:p>
            <w:pPr>
              <w:spacing w:after="40"/>
            </w:pPr>
            <w:r/>
            <w:r>
              <w:rPr>
                <w:sz w:val="19"/>
              </w:rPr>
              <w:t>Period 2</w:t>
            </w:r>
          </w:p>
        </w:tc>
        <w:tc>
          <w:tcPr>
            <w:tcW w:type="dxa" w:w="7654"/>
          </w:tcPr>
          <w:p>
            <w:pPr>
              <w:spacing w:after="40"/>
            </w:pPr>
            <w:r/>
            <w:r>
              <w:rPr>
                <w:sz w:val="19"/>
              </w:rPr>
              <w:t>Showcase and assessment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and Review” to learners’ home, school or community experiences. Ask 2–3 short questions and accept examples in familiar Nigerian contexts.</w:t>
      </w:r>
    </w:p>
    <w:p>
      <w:pPr>
        <w:pStyle w:val="ListBullet"/>
      </w:pPr>
      <w:r>
        <w:t>Explain and model the first part of the scheme content: Period 1: Build; test; present Period 2: Showcase and assessment.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