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Visualisation and Storytelling</w:t>
      </w:r>
    </w:p>
    <w:p>
      <w:pPr>
        <w:spacing w:after="120"/>
        <w:jc w:val="center"/>
      </w:pPr>
      <w:r>
        <w:rPr>
          <w:b/>
          <w:i w:val="0"/>
          <w:color w:val="4C1D95"/>
          <w:sz w:val="30"/>
        </w:rPr>
        <w:t>Primary 5 · Second Term · Week 3</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5, Second Term, Week 3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5</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Second Term</w:t>
            </w:r>
          </w:p>
        </w:tc>
      </w:tr>
      <w:tr>
        <w:tc>
          <w:tcPr>
            <w:tcW w:type="dxa" w:w="2551"/>
          </w:tcPr>
          <w:p>
            <w:pPr>
              <w:spacing w:after="40"/>
            </w:pPr>
            <w:r/>
            <w:r>
              <w:rPr>
                <w:sz w:val="19"/>
              </w:rPr>
              <w:t>Week</w:t>
            </w:r>
          </w:p>
        </w:tc>
        <w:tc>
          <w:tcPr>
            <w:tcW w:type="dxa" w:w="6803"/>
          </w:tcPr>
          <w:p>
            <w:pPr>
              <w:spacing w:after="40"/>
            </w:pPr>
            <w:r/>
            <w:r>
              <w:rPr>
                <w:sz w:val="19"/>
              </w:rPr>
              <w:t>Week 3 of Second Term</w:t>
            </w:r>
          </w:p>
        </w:tc>
      </w:tr>
      <w:tr>
        <w:tc>
          <w:tcPr>
            <w:tcW w:type="dxa" w:w="2551"/>
          </w:tcPr>
          <w:p>
            <w:pPr>
              <w:spacing w:after="40"/>
            </w:pPr>
            <w:r/>
            <w:r>
              <w:rPr>
                <w:sz w:val="19"/>
              </w:rPr>
              <w:t>Topic</w:t>
            </w:r>
          </w:p>
        </w:tc>
        <w:tc>
          <w:tcPr>
            <w:tcW w:type="dxa" w:w="6803"/>
          </w:tcPr>
          <w:p>
            <w:pPr>
              <w:spacing w:after="40"/>
            </w:pPr>
            <w:r/>
            <w:r>
              <w:rPr>
                <w:sz w:val="19"/>
              </w:rPr>
              <w:t>Visualisation and Storytelling</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'Visualisation and Storytelling'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Chart choice; title; evidence-based conclusion</w:t>
            </w:r>
          </w:p>
        </w:tc>
      </w:tr>
      <w:tr>
        <w:tc>
          <w:tcPr>
            <w:tcW w:type="dxa" w:w="1701"/>
          </w:tcPr>
          <w:p>
            <w:pPr>
              <w:spacing w:after="40"/>
            </w:pPr>
            <w:r/>
            <w:r>
              <w:rPr>
                <w:sz w:val="19"/>
              </w:rPr>
              <w:t>Period 2</w:t>
            </w:r>
          </w:p>
        </w:tc>
        <w:tc>
          <w:tcPr>
            <w:tcW w:type="dxa" w:w="7654"/>
          </w:tcPr>
          <w:p>
            <w:pPr>
              <w:spacing w:after="40"/>
            </w:pPr>
            <w:r/>
            <w:r>
              <w:rPr>
                <w:sz w:val="19"/>
              </w:rPr>
              <w:t>Create a short data story</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“Visualisation and Storytelling” to learners’ home, school or community experiences. Ask 2–3 short questions and accept examples in familiar Nigerian contexts.</w:t>
      </w:r>
    </w:p>
    <w:p>
      <w:pPr>
        <w:pStyle w:val="ListBullet"/>
      </w:pPr>
      <w:r>
        <w:t>Explain and model the first part of the scheme content: Period 1: Chart choice; title; evidence-based conclusion Period 2: Create a short data story.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“Visualisation and Storytelling”?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“Visualisation and Storytelling”.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5, Second Term, Week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