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Block-Based Coding Extension</w:t>
      </w:r>
    </w:p>
    <w:p>
      <w:pPr>
        <w:spacing w:after="120"/>
        <w:jc w:val="center"/>
      </w:pPr>
      <w:r>
        <w:rPr>
          <w:b/>
          <w:i w:val="0"/>
          <w:color w:val="4C1D95"/>
          <w:sz w:val="30"/>
        </w:rPr>
        <w:t>Primary 5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Block-Based Coding Extension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'Block-Based Coding Extension'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Events; loops; variables</w:t>
            </w:r>
          </w:p>
        </w:tc>
      </w:tr>
      <w:tr>
        <w:tc>
          <w:tcPr>
            <w:tcW w:type="dxa" w:w="1701"/>
          </w:tcPr>
          <w:p>
            <w:pPr>
              <w:spacing w:after="40"/>
            </w:pPr>
            <w:r/>
            <w:r>
              <w:rPr>
                <w:sz w:val="19"/>
              </w:rPr>
              <w:t>Period 2</w:t>
            </w:r>
          </w:p>
        </w:tc>
        <w:tc>
          <w:tcPr>
            <w:tcW w:type="dxa" w:w="7654"/>
          </w:tcPr>
          <w:p>
            <w:pPr>
              <w:spacing w:after="40"/>
            </w:pPr>
            <w:r/>
            <w:r>
              <w:rPr>
                <w:sz w:val="19"/>
              </w:rPr>
              <w:t>Build an interactive quiz</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“Block-Based Coding Extension” to learners’ home, school or community experiences. Ask 2–3 short questions and accept examples in familiar Nigerian contexts.</w:t>
      </w:r>
    </w:p>
    <w:p>
      <w:pPr>
        <w:pStyle w:val="ListBullet"/>
      </w:pPr>
      <w:r>
        <w:t>Explain and model the first part of the scheme content: Period 1: Events; loops; variables Period 2: Build an interactive quiz.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“Block-Based Coding Extension”?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“Block-Based Coding Extension”.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