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Machine Learning Simulation</w:t>
      </w:r>
    </w:p>
    <w:p>
      <w:pPr>
        <w:spacing w:after="120"/>
        <w:jc w:val="center"/>
      </w:pPr>
      <w:r>
        <w:rPr>
          <w:b/>
          <w:i w:val="0"/>
          <w:color w:val="4C1D95"/>
          <w:sz w:val="30"/>
        </w:rPr>
        <w:t>Primary 5 · Second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Second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6 of Second Term</w:t>
            </w:r>
          </w:p>
        </w:tc>
      </w:tr>
      <w:tr>
        <w:tc>
          <w:tcPr>
            <w:tcW w:type="dxa" w:w="2551"/>
          </w:tcPr>
          <w:p>
            <w:pPr>
              <w:spacing w:after="40"/>
            </w:pPr>
            <w:r/>
            <w:r>
              <w:rPr>
                <w:sz w:val="19"/>
              </w:rPr>
              <w:t>Topic</w:t>
            </w:r>
          </w:p>
        </w:tc>
        <w:tc>
          <w:tcPr>
            <w:tcW w:type="dxa" w:w="6803"/>
          </w:tcPr>
          <w:p>
            <w:pPr>
              <w:spacing w:after="40"/>
            </w:pPr>
            <w:r/>
            <w:r>
              <w:rPr>
                <w:sz w:val="19"/>
              </w:rPr>
              <w:t>Machine Learning Simulation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'Machine Learning Simulation'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Training/test examples; labels</w:t>
            </w:r>
          </w:p>
        </w:tc>
      </w:tr>
      <w:tr>
        <w:tc>
          <w:tcPr>
            <w:tcW w:type="dxa" w:w="1701"/>
          </w:tcPr>
          <w:p>
            <w:pPr>
              <w:spacing w:after="40"/>
            </w:pPr>
            <w:r/>
            <w:r>
              <w:rPr>
                <w:sz w:val="19"/>
              </w:rPr>
              <w:t>Period 2</w:t>
            </w:r>
          </w:p>
        </w:tc>
        <w:tc>
          <w:tcPr>
            <w:tcW w:type="dxa" w:w="7654"/>
          </w:tcPr>
          <w:p>
            <w:pPr>
              <w:spacing w:after="40"/>
            </w:pPr>
            <w:r/>
            <w:r>
              <w:rPr>
                <w:sz w:val="19"/>
              </w:rPr>
              <w:t>Simulate learning with paper cards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“Machine Learning Simulation” to learners’ home, school or community experiences. Ask 2–3 short questions and accept examples in familiar Nigerian contexts.</w:t>
      </w:r>
    </w:p>
    <w:p>
      <w:pPr>
        <w:pStyle w:val="ListBullet"/>
      </w:pPr>
      <w:r>
        <w:t>Explain and model the first part of the scheme content: Period 1: Training/test examples; labels Period 2: Simulate learning with paper cards.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“Machine Learning Simulation”?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“Machine Learning Simulation”.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Second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