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Model Evaluation</w:t>
      </w:r>
    </w:p>
    <w:p>
      <w:pPr>
        <w:spacing w:after="120"/>
        <w:jc w:val="center"/>
      </w:pPr>
      <w:r>
        <w:rPr>
          <w:b/>
          <w:i w:val="0"/>
          <w:color w:val="4C1D95"/>
          <w:sz w:val="30"/>
        </w:rPr>
        <w:t>Primary 5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Model Evaluation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'Model Evaluation'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Correct/incorrect predictions; accuracy idea</w:t>
            </w:r>
          </w:p>
        </w:tc>
      </w:tr>
      <w:tr>
        <w:tc>
          <w:tcPr>
            <w:tcW w:type="dxa" w:w="1701"/>
          </w:tcPr>
          <w:p>
            <w:pPr>
              <w:spacing w:after="40"/>
            </w:pPr>
            <w:r/>
            <w:r>
              <w:rPr>
                <w:sz w:val="19"/>
              </w:rPr>
              <w:t>Period 2</w:t>
            </w:r>
          </w:p>
        </w:tc>
        <w:tc>
          <w:tcPr>
            <w:tcW w:type="dxa" w:w="7654"/>
          </w:tcPr>
          <w:p>
            <w:pPr>
              <w:spacing w:after="40"/>
            </w:pPr>
            <w:r/>
            <w:r>
              <w:rPr>
                <w:sz w:val="19"/>
              </w:rPr>
              <w:t>Score predictions on new 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“Model Evaluation” to learners’ home, school or community experiences. Ask 2–3 short questions and accept examples in familiar Nigerian contexts.</w:t>
      </w:r>
    </w:p>
    <w:p>
      <w:pPr>
        <w:pStyle w:val="ListBullet"/>
      </w:pPr>
      <w:r>
        <w:t>Explain and model the first part of the scheme content: Period 1: Correct/incorrect predictions; accuracy idea Period 2: Score predictions on new 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“Model Evaluation”?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“Model Evaluation”.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