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Presentation and Review</w:t>
      </w:r>
    </w:p>
    <w:p>
      <w:pPr>
        <w:spacing w:after="120"/>
        <w:jc w:val="center"/>
      </w:pPr>
      <w:r>
        <w:rPr>
          <w:b/>
          <w:i w:val="0"/>
          <w:color w:val="4C1D95"/>
          <w:sz w:val="30"/>
        </w:rPr>
        <w:t>Primary 5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Presentation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'Presentation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Portfolio selection; reflection</w:t>
            </w:r>
          </w:p>
        </w:tc>
      </w:tr>
      <w:tr>
        <w:tc>
          <w:tcPr>
            <w:tcW w:type="dxa" w:w="1701"/>
          </w:tcPr>
          <w:p>
            <w:pPr>
              <w:spacing w:after="40"/>
            </w:pPr>
            <w:r/>
            <w:r>
              <w:rPr>
                <w:sz w:val="19"/>
              </w:rPr>
              <w:t>Period 2</w:t>
            </w:r>
          </w:p>
        </w:tc>
        <w:tc>
          <w:tcPr>
            <w:tcW w:type="dxa" w:w="7654"/>
          </w:tcPr>
          <w:p>
            <w:pPr>
              <w:spacing w:after="40"/>
            </w:pPr>
            <w:r/>
            <w:r>
              <w:rPr>
                <w:sz w:val="19"/>
              </w:rPr>
              <w:t>Present learning and complete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“Presentation and Review” to learners’ home, school or community experiences. Ask 2–3 short questions and accept examples in familiar Nigerian contexts.</w:t>
      </w:r>
    </w:p>
    <w:p>
      <w:pPr>
        <w:pStyle w:val="ListBullet"/>
      </w:pPr>
      <w:r>
        <w:t>Explain and model the first part of the scheme content: Period 1: Portfolio selection; reflection Period 2: Present learning and complete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“Presentation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“Presentation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