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Year Review</w:t>
      </w:r>
    </w:p>
    <w:p>
      <w:pPr>
        <w:spacing w:after="120"/>
        <w:jc w:val="center"/>
      </w:pPr>
      <w:r>
        <w:rPr>
          <w:b/>
          <w:i w:val="0"/>
          <w:color w:val="4C1D95"/>
          <w:sz w:val="30"/>
        </w:rPr>
        <w:t>Primary 5 · Third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 of Third Term</w:t>
            </w:r>
          </w:p>
        </w:tc>
      </w:tr>
      <w:tr>
        <w:tc>
          <w:tcPr>
            <w:tcW w:type="dxa" w:w="2551"/>
          </w:tcPr>
          <w:p>
            <w:pPr>
              <w:spacing w:after="40"/>
            </w:pPr>
            <w:r/>
            <w:r>
              <w:rPr>
                <w:sz w:val="19"/>
              </w:rPr>
              <w:t>Topic</w:t>
            </w:r>
          </w:p>
        </w:tc>
        <w:tc>
          <w:tcPr>
            <w:tcW w:type="dxa" w:w="6803"/>
          </w:tcPr>
          <w:p>
            <w:pPr>
              <w:spacing w:after="40"/>
            </w:pPr>
            <w:r/>
            <w:r>
              <w:rPr>
                <w:sz w:val="19"/>
              </w:rPr>
              <w:t>Year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'Year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Data, coding, AI concepts</w:t>
            </w:r>
          </w:p>
        </w:tc>
      </w:tr>
      <w:tr>
        <w:tc>
          <w:tcPr>
            <w:tcW w:type="dxa" w:w="1701"/>
          </w:tcPr>
          <w:p>
            <w:pPr>
              <w:spacing w:after="40"/>
            </w:pPr>
            <w:r/>
            <w:r>
              <w:rPr>
                <w:sz w:val="19"/>
              </w:rPr>
              <w:t>Period 2</w:t>
            </w:r>
          </w:p>
        </w:tc>
        <w:tc>
          <w:tcPr>
            <w:tcW w:type="dxa" w:w="7654"/>
          </w:tcPr>
          <w:p>
            <w:pPr>
              <w:spacing w:after="40"/>
            </w:pPr>
            <w:r/>
            <w:r>
              <w:rPr>
                <w:sz w:val="19"/>
              </w:rPr>
              <w:t>Mixed quiz</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“Year Review” to learners’ home, school or community experiences. Ask 2–3 short questions and accept examples in familiar Nigerian contexts.</w:t>
      </w:r>
    </w:p>
    <w:p>
      <w:pPr>
        <w:pStyle w:val="ListBullet"/>
      </w:pPr>
      <w:r>
        <w:t>Explain and model the first part of the scheme content: Period 1: Data, coding, AI concepts Period 2: Mixed quiz.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“Year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“Year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