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Project Presentation and Review</w:t>
      </w:r>
    </w:p>
    <w:p>
      <w:pPr>
        <w:spacing w:after="120"/>
        <w:jc w:val="center"/>
      </w:pPr>
      <w:r>
        <w:rPr>
          <w:b/>
          <w:i w:val="0"/>
          <w:color w:val="4C1D95"/>
          <w:sz w:val="30"/>
        </w:rPr>
        <w:t>Primary 6 · First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First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10 of First Term</w:t>
            </w:r>
          </w:p>
        </w:tc>
      </w:tr>
      <w:tr>
        <w:tc>
          <w:tcPr>
            <w:tcW w:type="dxa" w:w="2551"/>
          </w:tcPr>
          <w:p>
            <w:pPr>
              <w:spacing w:after="40"/>
            </w:pPr>
            <w:r/>
            <w:r>
              <w:rPr>
                <w:sz w:val="19"/>
              </w:rPr>
              <w:t>Topic</w:t>
            </w:r>
          </w:p>
        </w:tc>
        <w:tc>
          <w:tcPr>
            <w:tcW w:type="dxa" w:w="6803"/>
          </w:tcPr>
          <w:p>
            <w:pPr>
              <w:spacing w:after="40"/>
            </w:pPr>
            <w:r/>
            <w:r>
              <w:rPr>
                <w:sz w:val="19"/>
              </w:rPr>
              <w:t>Project Presentation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'Project Presentation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Demonstration; reflection; recap</w:t>
            </w:r>
          </w:p>
        </w:tc>
      </w:tr>
      <w:tr>
        <w:tc>
          <w:tcPr>
            <w:tcW w:type="dxa" w:w="1701"/>
          </w:tcPr>
          <w:p>
            <w:pPr>
              <w:spacing w:after="40"/>
            </w:pPr>
            <w:r/>
            <w:r>
              <w:rPr>
                <w:sz w:val="19"/>
              </w:rPr>
              <w:t>Period 2</w:t>
            </w:r>
          </w:p>
        </w:tc>
        <w:tc>
          <w:tcPr>
            <w:tcW w:type="dxa" w:w="7654"/>
          </w:tcPr>
          <w:p>
            <w:pPr>
              <w:spacing w:after="40"/>
            </w:pPr>
            <w:r/>
            <w:r>
              <w:rPr>
                <w:sz w:val="19"/>
              </w:rPr>
              <w:t>Present project and complete assessment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“Project Presentation and Review” to learners’ home, school or community experiences. Ask 2–3 short questions and accept examples in familiar Nigerian contexts.</w:t>
      </w:r>
    </w:p>
    <w:p>
      <w:pPr>
        <w:pStyle w:val="ListBullet"/>
      </w:pPr>
      <w:r>
        <w:t>Explain and model the first part of the scheme content: Period 1: Demonstration; reflection; recap Period 2: Present project and complete assessment.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“Project Presentation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“Project Presentation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First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