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Data Collection and Representation</w:t>
      </w:r>
    </w:p>
    <w:p>
      <w:pPr>
        <w:spacing w:after="120"/>
        <w:jc w:val="center"/>
      </w:pPr>
      <w:r>
        <w:rPr>
          <w:b/>
          <w:i w:val="0"/>
          <w:color w:val="4C1D95"/>
          <w:sz w:val="30"/>
        </w:rPr>
        <w:t>Primary 6 · First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First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3 of First Term</w:t>
            </w:r>
          </w:p>
        </w:tc>
      </w:tr>
      <w:tr>
        <w:tc>
          <w:tcPr>
            <w:tcW w:type="dxa" w:w="2551"/>
          </w:tcPr>
          <w:p>
            <w:pPr>
              <w:spacing w:after="40"/>
            </w:pPr>
            <w:r/>
            <w:r>
              <w:rPr>
                <w:sz w:val="19"/>
              </w:rPr>
              <w:t>Topic</w:t>
            </w:r>
          </w:p>
        </w:tc>
        <w:tc>
          <w:tcPr>
            <w:tcW w:type="dxa" w:w="6803"/>
          </w:tcPr>
          <w:p>
            <w:pPr>
              <w:spacing w:after="40"/>
            </w:pPr>
            <w:r/>
            <w:r>
              <w:rPr>
                <w:sz w:val="19"/>
              </w:rPr>
              <w:t>Data Collection and Representation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'Data Collection and Representation'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Survey questions; tables; charts</w:t>
            </w:r>
          </w:p>
        </w:tc>
      </w:tr>
      <w:tr>
        <w:tc>
          <w:tcPr>
            <w:tcW w:type="dxa" w:w="1701"/>
          </w:tcPr>
          <w:p>
            <w:pPr>
              <w:spacing w:after="40"/>
            </w:pPr>
            <w:r/>
            <w:r>
              <w:rPr>
                <w:sz w:val="19"/>
              </w:rPr>
              <w:t>Period 2</w:t>
            </w:r>
          </w:p>
        </w:tc>
        <w:tc>
          <w:tcPr>
            <w:tcW w:type="dxa" w:w="7654"/>
          </w:tcPr>
          <w:p>
            <w:pPr>
              <w:spacing w:after="40"/>
            </w:pPr>
            <w:r/>
            <w:r>
              <w:rPr>
                <w:sz w:val="19"/>
              </w:rPr>
              <w:t>Collect and chart non-sensitive data</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“Data Collection and Representation” to learners’ home, school or community experiences. Ask 2–3 short questions and accept examples in familiar Nigerian contexts.</w:t>
      </w:r>
    </w:p>
    <w:p>
      <w:pPr>
        <w:pStyle w:val="ListBullet"/>
      </w:pPr>
      <w:r>
        <w:t>Explain and model the first part of the scheme content: Period 1: Survey questions; tables; charts Period 2: Collect and chart non-sensitive data.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“Data Collection and Representation”?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“Data Collection and Representation”.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First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