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Block Coding Project</w:t>
      </w:r>
    </w:p>
    <w:p>
      <w:pPr>
        <w:spacing w:after="120"/>
        <w:jc w:val="center"/>
      </w:pPr>
      <w:r>
        <w:rPr>
          <w:b/>
          <w:i w:val="0"/>
          <w:color w:val="4C1D95"/>
          <w:sz w:val="30"/>
        </w:rPr>
        <w:t>Primary 6 · First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5 of First Term</w:t>
            </w:r>
          </w:p>
        </w:tc>
      </w:tr>
      <w:tr>
        <w:tc>
          <w:tcPr>
            <w:tcW w:type="dxa" w:w="2551"/>
          </w:tcPr>
          <w:p>
            <w:pPr>
              <w:spacing w:after="40"/>
            </w:pPr>
            <w:r/>
            <w:r>
              <w:rPr>
                <w:sz w:val="19"/>
              </w:rPr>
              <w:t>Topic</w:t>
            </w:r>
          </w:p>
        </w:tc>
        <w:tc>
          <w:tcPr>
            <w:tcW w:type="dxa" w:w="6803"/>
          </w:tcPr>
          <w:p>
            <w:pPr>
              <w:spacing w:after="40"/>
            </w:pPr>
            <w:r/>
            <w:r>
              <w:rPr>
                <w:sz w:val="19"/>
              </w:rPr>
              <w:t>Block Coding Project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'Block Coding Project'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Variables; events; conditions</w:t>
            </w:r>
          </w:p>
        </w:tc>
      </w:tr>
      <w:tr>
        <w:tc>
          <w:tcPr>
            <w:tcW w:type="dxa" w:w="1701"/>
          </w:tcPr>
          <w:p>
            <w:pPr>
              <w:spacing w:after="40"/>
            </w:pPr>
            <w:r/>
            <w:r>
              <w:rPr>
                <w:sz w:val="19"/>
              </w:rPr>
              <w:t>Period 2</w:t>
            </w:r>
          </w:p>
        </w:tc>
        <w:tc>
          <w:tcPr>
            <w:tcW w:type="dxa" w:w="7654"/>
          </w:tcPr>
          <w:p>
            <w:pPr>
              <w:spacing w:after="40"/>
            </w:pPr>
            <w:r/>
            <w:r>
              <w:rPr>
                <w:sz w:val="19"/>
              </w:rPr>
              <w:t>Build a small educational game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“Block Coding Project” to learners’ home, school or community experiences. Ask 2–3 short questions and accept examples in familiar Nigerian contexts.</w:t>
      </w:r>
    </w:p>
    <w:p>
      <w:pPr>
        <w:pStyle w:val="ListBullet"/>
      </w:pPr>
      <w:r>
        <w:t>Explain and model the first part of the scheme content: Period 1: Variables; events; conditions Period 2: Build a small educational game.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“Block Coding Project”?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“Block Coding Project”.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