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Safety and Digital Citizenship</w:t>
      </w:r>
    </w:p>
    <w:p>
      <w:pPr>
        <w:spacing w:after="120"/>
        <w:jc w:val="center"/>
      </w:pPr>
      <w:r>
        <w:rPr>
          <w:b/>
          <w:i w:val="0"/>
          <w:color w:val="4C1D95"/>
          <w:sz w:val="30"/>
        </w:rPr>
        <w:t>Primary 6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AI Safety and Digital Citizenship</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Safety and Digital Citizenship'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Privacy; misinformation; cyberbullying</w:t>
            </w:r>
          </w:p>
        </w:tc>
      </w:tr>
      <w:tr>
        <w:tc>
          <w:tcPr>
            <w:tcW w:type="dxa" w:w="1701"/>
          </w:tcPr>
          <w:p>
            <w:pPr>
              <w:spacing w:after="40"/>
            </w:pPr>
            <w:r/>
            <w:r>
              <w:rPr>
                <w:sz w:val="19"/>
              </w:rPr>
              <w:t>Period 2</w:t>
            </w:r>
          </w:p>
        </w:tc>
        <w:tc>
          <w:tcPr>
            <w:tcW w:type="dxa" w:w="7654"/>
          </w:tcPr>
          <w:p>
            <w:pPr>
              <w:spacing w:after="40"/>
            </w:pPr>
            <w:r/>
            <w:r>
              <w:rPr>
                <w:sz w:val="19"/>
              </w:rPr>
              <w:t>Respond to case studies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Safety and Digital Citizenship” to learners’ home, school or community experiences. Ask 2–3 short questions and accept examples in familiar Nigerian contexts.</w:t>
      </w:r>
    </w:p>
    <w:p>
      <w:pPr>
        <w:pStyle w:val="ListBullet"/>
      </w:pPr>
      <w:r>
        <w:t>Explain and model the first part of the scheme content: Period 1: Privacy; misinformation; cyberbullying Period 2: Respond to case studies.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Safety and Digital Citizenship”?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Safety and Digital Citizenship”.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