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Capstone Showcase and Review</w:t>
      </w:r>
    </w:p>
    <w:p>
      <w:pPr>
        <w:spacing w:after="120"/>
        <w:jc w:val="center"/>
      </w:pPr>
      <w:r>
        <w:rPr>
          <w:b/>
          <w:i w:val="0"/>
          <w:color w:val="4C1D95"/>
          <w:sz w:val="30"/>
        </w:rPr>
        <w:t>Primary 6 · Second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10 of Second Term</w:t>
            </w:r>
          </w:p>
        </w:tc>
      </w:tr>
      <w:tr>
        <w:tc>
          <w:tcPr>
            <w:tcW w:type="dxa" w:w="2551"/>
          </w:tcPr>
          <w:p>
            <w:pPr>
              <w:spacing w:after="40"/>
            </w:pPr>
            <w:r/>
            <w:r>
              <w:rPr>
                <w:sz w:val="19"/>
              </w:rPr>
              <w:t>Topic</w:t>
            </w:r>
          </w:p>
        </w:tc>
        <w:tc>
          <w:tcPr>
            <w:tcW w:type="dxa" w:w="6803"/>
          </w:tcPr>
          <w:p>
            <w:pPr>
              <w:spacing w:after="40"/>
            </w:pPr>
            <w:r/>
            <w:r>
              <w:rPr>
                <w:sz w:val="19"/>
              </w:rPr>
              <w:t>Capstone Showcase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'Capstone Showcase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Explain problem; demo; limitations</w:t>
            </w:r>
          </w:p>
        </w:tc>
      </w:tr>
      <w:tr>
        <w:tc>
          <w:tcPr>
            <w:tcW w:type="dxa" w:w="1701"/>
          </w:tcPr>
          <w:p>
            <w:pPr>
              <w:spacing w:after="40"/>
            </w:pPr>
            <w:r/>
            <w:r>
              <w:rPr>
                <w:sz w:val="19"/>
              </w:rPr>
              <w:t>Period 2</w:t>
            </w:r>
          </w:p>
        </w:tc>
        <w:tc>
          <w:tcPr>
            <w:tcW w:type="dxa" w:w="7654"/>
          </w:tcPr>
          <w:p>
            <w:pPr>
              <w:spacing w:after="40"/>
            </w:pPr>
            <w:r/>
            <w:r>
              <w:rPr>
                <w:sz w:val="19"/>
              </w:rPr>
              <w:t>Present project and reflect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“Capstone Showcase and Review” to learners’ home, school or community experiences. Ask 2–3 short questions and accept examples in familiar Nigerian contexts.</w:t>
      </w:r>
    </w:p>
    <w:p>
      <w:pPr>
        <w:pStyle w:val="ListBullet"/>
      </w:pPr>
      <w:r>
        <w:t>Explain and model the first part of the scheme content: Period 1: Explain problem; demo; limitations Period 2: Present project and reflect.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“Capstone Showcase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“Capstone Showcase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