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Spreadsheets and Functions</w:t>
      </w:r>
    </w:p>
    <w:p>
      <w:pPr>
        <w:spacing w:after="120"/>
        <w:jc w:val="center"/>
      </w:pPr>
      <w:r>
        <w:rPr>
          <w:b/>
          <w:i w:val="0"/>
          <w:color w:val="4C1D95"/>
          <w:sz w:val="30"/>
        </w:rPr>
        <w:t>Primary 6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Spreadsheets and Functions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'Spreadsheets and Functions'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SUM; AVERAGE; IF concept</w:t>
            </w:r>
          </w:p>
        </w:tc>
      </w:tr>
      <w:tr>
        <w:tc>
          <w:tcPr>
            <w:tcW w:type="dxa" w:w="1701"/>
          </w:tcPr>
          <w:p>
            <w:pPr>
              <w:spacing w:after="40"/>
            </w:pPr>
            <w:r/>
            <w:r>
              <w:rPr>
                <w:sz w:val="19"/>
              </w:rPr>
              <w:t>Period 2</w:t>
            </w:r>
          </w:p>
        </w:tc>
        <w:tc>
          <w:tcPr>
            <w:tcW w:type="dxa" w:w="7654"/>
          </w:tcPr>
          <w:p>
            <w:pPr>
              <w:spacing w:after="40"/>
            </w:pPr>
            <w:r/>
            <w:r>
              <w:rPr>
                <w:sz w:val="19"/>
              </w:rPr>
              <w:t>Solve practical data questions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“Spreadsheets and Functions” to learners’ home, school or community experiences. Ask 2–3 short questions and accept examples in familiar Nigerian contexts.</w:t>
      </w:r>
    </w:p>
    <w:p>
      <w:pPr>
        <w:pStyle w:val="ListBullet"/>
      </w:pPr>
      <w:r>
        <w:t>Explain and model the first part of the scheme content: Period 1: SUM; AVERAGE; IF concept Period 2: Solve practical data questions.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“Spreadsheets and Functions”?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“Spreadsheets and Functions”.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