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Charts and Communication</w:t>
      </w:r>
    </w:p>
    <w:p>
      <w:pPr>
        <w:spacing w:after="120"/>
        <w:jc w:val="center"/>
      </w:pPr>
      <w:r>
        <w:rPr>
          <w:b/>
          <w:i w:val="0"/>
          <w:color w:val="4C1D95"/>
          <w:sz w:val="30"/>
        </w:rPr>
        <w:t>Primary 6 · Second Term · Week 3</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Second Term, Week 3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3 of Second Term</w:t>
            </w:r>
          </w:p>
        </w:tc>
      </w:tr>
      <w:tr>
        <w:tc>
          <w:tcPr>
            <w:tcW w:type="dxa" w:w="2551"/>
          </w:tcPr>
          <w:p>
            <w:pPr>
              <w:spacing w:after="40"/>
            </w:pPr>
            <w:r/>
            <w:r>
              <w:rPr>
                <w:sz w:val="19"/>
              </w:rPr>
              <w:t>Topic</w:t>
            </w:r>
          </w:p>
        </w:tc>
        <w:tc>
          <w:tcPr>
            <w:tcW w:type="dxa" w:w="6803"/>
          </w:tcPr>
          <w:p>
            <w:pPr>
              <w:spacing w:after="40"/>
            </w:pPr>
            <w:r/>
            <w:r>
              <w:rPr>
                <w:sz w:val="19"/>
              </w:rPr>
              <w:t>Charts and Communication</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'Charts and Communication'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Chart selection; interpretation</w:t>
            </w:r>
          </w:p>
        </w:tc>
      </w:tr>
      <w:tr>
        <w:tc>
          <w:tcPr>
            <w:tcW w:type="dxa" w:w="1701"/>
          </w:tcPr>
          <w:p>
            <w:pPr>
              <w:spacing w:after="40"/>
            </w:pPr>
            <w:r/>
            <w:r>
              <w:rPr>
                <w:sz w:val="19"/>
              </w:rPr>
              <w:t>Period 2</w:t>
            </w:r>
          </w:p>
        </w:tc>
        <w:tc>
          <w:tcPr>
            <w:tcW w:type="dxa" w:w="7654"/>
          </w:tcPr>
          <w:p>
            <w:pPr>
              <w:spacing w:after="40"/>
            </w:pPr>
            <w:r/>
            <w:r>
              <w:rPr>
                <w:sz w:val="19"/>
              </w:rPr>
              <w:t>Present a data-based recommendation</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“Charts and Communication” to learners’ home, school or community experiences. Ask 2–3 short questions and accept examples in familiar Nigerian contexts.</w:t>
      </w:r>
    </w:p>
    <w:p>
      <w:pPr>
        <w:pStyle w:val="ListBullet"/>
      </w:pPr>
      <w:r>
        <w:t>Explain and model the first part of the scheme content: Period 1: Chart selection; interpretation Period 2: Present a data-based recommendation.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“Charts and Communication”?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“Charts and Communication”.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Second Term,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