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Programming Logic</w:t>
      </w:r>
    </w:p>
    <w:p>
      <w:pPr>
        <w:spacing w:after="120"/>
        <w:jc w:val="center"/>
      </w:pPr>
      <w:r>
        <w:rPr>
          <w:b/>
          <w:i w:val="0"/>
          <w:color w:val="4C1D95"/>
          <w:sz w:val="30"/>
        </w:rPr>
        <w:t>Primary 6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Programming Logic</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'Programming Logic'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Variables; conditions; loops</w:t>
            </w:r>
          </w:p>
        </w:tc>
      </w:tr>
      <w:tr>
        <w:tc>
          <w:tcPr>
            <w:tcW w:type="dxa" w:w="1701"/>
          </w:tcPr>
          <w:p>
            <w:pPr>
              <w:spacing w:after="40"/>
            </w:pPr>
            <w:r/>
            <w:r>
              <w:rPr>
                <w:sz w:val="19"/>
              </w:rPr>
              <w:t>Period 2</w:t>
            </w:r>
          </w:p>
        </w:tc>
        <w:tc>
          <w:tcPr>
            <w:tcW w:type="dxa" w:w="7654"/>
          </w:tcPr>
          <w:p>
            <w:pPr>
              <w:spacing w:after="40"/>
            </w:pPr>
            <w:r/>
            <w:r>
              <w:rPr>
                <w:sz w:val="19"/>
              </w:rPr>
              <w:t>Extend a block-code project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“Programming Logic” to learners’ home, school or community experiences. Ask 2–3 short questions and accept examples in familiar Nigerian contexts.</w:t>
      </w:r>
    </w:p>
    <w:p>
      <w:pPr>
        <w:pStyle w:val="ListBullet"/>
      </w:pPr>
      <w:r>
        <w:t>Explain and model the first part of the scheme content: Period 1: Variables; conditions; loops Period 2: Extend a block-code project.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“Programming Logic”?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“Programming Logic”.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