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AI Classification</w:t>
      </w:r>
    </w:p>
    <w:p>
      <w:pPr>
        <w:spacing w:after="120"/>
        <w:jc w:val="center"/>
      </w:pPr>
      <w:r>
        <w:rPr>
          <w:b/>
          <w:i w:val="0"/>
          <w:color w:val="4C1D95"/>
          <w:sz w:val="30"/>
        </w:rPr>
        <w:t>Primary 6 · Second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Second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6 of Second Term</w:t>
            </w:r>
          </w:p>
        </w:tc>
      </w:tr>
      <w:tr>
        <w:tc>
          <w:tcPr>
            <w:tcW w:type="dxa" w:w="2551"/>
          </w:tcPr>
          <w:p>
            <w:pPr>
              <w:spacing w:after="40"/>
            </w:pPr>
            <w:r/>
            <w:r>
              <w:rPr>
                <w:sz w:val="19"/>
              </w:rPr>
              <w:t>Topic</w:t>
            </w:r>
          </w:p>
        </w:tc>
        <w:tc>
          <w:tcPr>
            <w:tcW w:type="dxa" w:w="6803"/>
          </w:tcPr>
          <w:p>
            <w:pPr>
              <w:spacing w:after="40"/>
            </w:pPr>
            <w:r/>
            <w:r>
              <w:rPr>
                <w:sz w:val="19"/>
              </w:rPr>
              <w:t>AI Classification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'AI Classification'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Features; labels; predictions</w:t>
            </w:r>
          </w:p>
        </w:tc>
      </w:tr>
      <w:tr>
        <w:tc>
          <w:tcPr>
            <w:tcW w:type="dxa" w:w="1701"/>
          </w:tcPr>
          <w:p>
            <w:pPr>
              <w:spacing w:after="40"/>
            </w:pPr>
            <w:r/>
            <w:r>
              <w:rPr>
                <w:sz w:val="19"/>
              </w:rPr>
              <w:t>Period 2</w:t>
            </w:r>
          </w:p>
        </w:tc>
        <w:tc>
          <w:tcPr>
            <w:tcW w:type="dxa" w:w="7654"/>
          </w:tcPr>
          <w:p>
            <w:pPr>
              <w:spacing w:after="40"/>
            </w:pPr>
            <w:r/>
            <w:r>
              <w:rPr>
                <w:sz w:val="19"/>
              </w:rPr>
              <w:t>Test classifier using local examples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“AI Classification” to learners’ home, school or community experiences. Ask 2–3 short questions and accept examples in familiar Nigerian contexts.</w:t>
      </w:r>
    </w:p>
    <w:p>
      <w:pPr>
        <w:pStyle w:val="ListBullet"/>
      </w:pPr>
      <w:r>
        <w:t>Explain and model the first part of the scheme content: Period 1: Features; labels; predictions Period 2: Test classifier using local examples.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“AI Classification”?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“AI Classification”.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Second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